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DR</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118652205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Issues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 Australia, Bosnia and Herzegovina, China, France, Indonesia, Iran, Israel, Japan, Kenya, Libya, Mexico, Nigeria, Pakistan, Panama, Philippines, Russian Federation, Singapore, Ukraine, and United Arab Emirates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Rule="auto"/>
        <w:ind w:firstLine="84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15">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that international humanitarian law, including the Geneva Conventions and Additional Protocols I and II, contains important provisions for the protection of civilians,</w:t>
      </w:r>
    </w:p>
    <w:p w:rsidR="00000000" w:rsidDel="00000000" w:rsidP="00000000" w:rsidRDefault="00000000" w:rsidRPr="00000000" w14:paraId="00000016">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Sustainable Development Goal (SDG) 2 ”Zero Hunger”, which all member states have endorsed,</w:t>
      </w:r>
    </w:p>
    <w:p w:rsidR="00000000" w:rsidDel="00000000" w:rsidP="00000000" w:rsidRDefault="00000000" w:rsidRPr="00000000" w14:paraId="00000017">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S/RES/2417,</w:t>
      </w:r>
    </w:p>
    <w:p w:rsidR="00000000" w:rsidDel="00000000" w:rsidP="00000000" w:rsidRDefault="00000000" w:rsidRPr="00000000" w14:paraId="00000018">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World Food Programme (WFP), Food Agricultural Organization (FAO), International Bank for Reconstruction and Development (IBRD), World Trade Organization (WTO), and International Fund for Agricultural Development(IFAD), </w:t>
      </w:r>
    </w:p>
    <w:p w:rsidR="00000000" w:rsidDel="00000000" w:rsidP="00000000" w:rsidRDefault="00000000" w:rsidRPr="00000000" w14:paraId="00000019">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Concerned</w:t>
      </w:r>
      <w:r w:rsidDel="00000000" w:rsidR="00000000" w:rsidRPr="00000000">
        <w:rPr>
          <w:rFonts w:ascii="Times New Roman" w:cs="Times New Roman" w:eastAsia="Times New Roman" w:hAnsi="Times New Roman"/>
          <w:sz w:val="20"/>
          <w:szCs w:val="20"/>
          <w:rtl w:val="0"/>
        </w:rPr>
        <w:t xml:space="preserve"> that the ongoing instability and disruption in conflict-affected areas continue to hamper civilian food production, distribution, and access,</w:t>
      </w:r>
    </w:p>
    <w:p w:rsidR="00000000" w:rsidDel="00000000" w:rsidP="00000000" w:rsidRDefault="00000000" w:rsidRPr="00000000" w14:paraId="0000001A">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Emphasizing</w:t>
      </w:r>
      <w:r w:rsidDel="00000000" w:rsidR="00000000" w:rsidRPr="00000000">
        <w:rPr>
          <w:rFonts w:ascii="Times New Roman" w:cs="Times New Roman" w:eastAsia="Times New Roman" w:hAnsi="Times New Roman"/>
          <w:sz w:val="20"/>
          <w:szCs w:val="20"/>
          <w:rtl w:val="0"/>
        </w:rPr>
        <w:t xml:space="preserve"> the necessity that humanitarian food assistance reliably reaches civilians in need without interference,</w:t>
      </w:r>
    </w:p>
    <w:p w:rsidR="00000000" w:rsidDel="00000000" w:rsidP="00000000" w:rsidRDefault="00000000" w:rsidRPr="00000000" w14:paraId="0000001B">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establishing food security in conflict situations requires both short-term and long-term approaches,</w:t>
      </w:r>
    </w:p>
    <w:p w:rsidR="00000000" w:rsidDel="00000000" w:rsidP="00000000" w:rsidRDefault="00000000" w:rsidRPr="00000000" w14:paraId="0000001C">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Affirming</w:t>
      </w:r>
      <w:r w:rsidDel="00000000" w:rsidR="00000000" w:rsidRPr="00000000">
        <w:rPr>
          <w:rFonts w:ascii="Times New Roman" w:cs="Times New Roman" w:eastAsia="Times New Roman" w:hAnsi="Times New Roman"/>
          <w:sz w:val="20"/>
          <w:szCs w:val="20"/>
          <w:rtl w:val="0"/>
        </w:rPr>
        <w:t xml:space="preserve"> that protection must also be provided to people forced to move as a result of conflict,</w:t>
      </w:r>
    </w:p>
    <w:p w:rsidR="00000000" w:rsidDel="00000000" w:rsidP="00000000" w:rsidRDefault="00000000" w:rsidRPr="00000000" w14:paraId="0000001D">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engaging in combat during the period of receiving support from international organizations may hinder the smooth implementation of such support,</w:t>
      </w:r>
    </w:p>
    <w:p w:rsidR="00000000" w:rsidDel="00000000" w:rsidP="00000000" w:rsidRDefault="00000000" w:rsidRPr="00000000" w14:paraId="0000001E">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appropriate exports are necessary to resolve food issues,</w:t>
      </w:r>
    </w:p>
    <w:p w:rsidR="00000000" w:rsidDel="00000000" w:rsidP="00000000" w:rsidRDefault="00000000" w:rsidRPr="00000000" w14:paraId="0000001F">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in conflict-affected countries, not only financial and technical support but also personnel are necessary,</w:t>
      </w:r>
    </w:p>
    <w:p w:rsidR="00000000" w:rsidDel="00000000" w:rsidP="00000000" w:rsidRDefault="00000000" w:rsidRPr="00000000" w14:paraId="00000020">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 with deep concern</w:t>
      </w:r>
      <w:r w:rsidDel="00000000" w:rsidR="00000000" w:rsidRPr="00000000">
        <w:rPr>
          <w:rFonts w:ascii="Times New Roman" w:cs="Times New Roman" w:eastAsia="Times New Roman" w:hAnsi="Times New Roman"/>
          <w:sz w:val="20"/>
          <w:szCs w:val="20"/>
          <w:rtl w:val="0"/>
        </w:rPr>
        <w:t xml:space="preserve"> that armed conflicts have caused instability in food supply chains and significant price volatility across borders,</w:t>
      </w:r>
    </w:p>
    <w:p w:rsidR="00000000" w:rsidDel="00000000" w:rsidP="00000000" w:rsidRDefault="00000000" w:rsidRPr="00000000" w14:paraId="00000021">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excessive dependence on a limited number of food supply sources or exporting countries significantly increases vulnerability to disruptions during crises,</w:t>
      </w:r>
    </w:p>
    <w:p w:rsidR="00000000" w:rsidDel="00000000" w:rsidP="00000000" w:rsidRDefault="00000000" w:rsidRPr="00000000" w14:paraId="00000022">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 with deep concern</w:t>
      </w:r>
      <w:r w:rsidDel="00000000" w:rsidR="00000000" w:rsidRPr="00000000">
        <w:rPr>
          <w:rFonts w:ascii="Times New Roman" w:cs="Times New Roman" w:eastAsia="Times New Roman" w:hAnsi="Times New Roman"/>
          <w:sz w:val="20"/>
          <w:szCs w:val="20"/>
          <w:rtl w:val="0"/>
        </w:rPr>
        <w:t xml:space="preserve"> that countries with high dependence on food imports, including island and archipelagic States, face heightened risks to food security due to logistical constraints and supply disruptions,</w:t>
      </w:r>
    </w:p>
    <w:p w:rsidR="00000000" w:rsidDel="00000000" w:rsidP="00000000" w:rsidRDefault="00000000" w:rsidRPr="00000000" w14:paraId="00000023">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that food security constitutes a fundamental pillar of national stability and international peace,</w:t>
      </w:r>
    </w:p>
    <w:p w:rsidR="00000000" w:rsidDel="00000000" w:rsidP="00000000" w:rsidRDefault="00000000" w:rsidRPr="00000000" w14:paraId="00000024">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Concerned</w:t>
      </w:r>
      <w:r w:rsidDel="00000000" w:rsidR="00000000" w:rsidRPr="00000000">
        <w:rPr>
          <w:rFonts w:ascii="Times New Roman" w:cs="Times New Roman" w:eastAsia="Times New Roman" w:hAnsi="Times New Roman"/>
          <w:sz w:val="20"/>
          <w:szCs w:val="20"/>
          <w:rtl w:val="0"/>
        </w:rPr>
        <w:t xml:space="preserve"> that food supply instability often persists well beyond the cessation of armed conflicts,</w:t>
      </w:r>
    </w:p>
    <w:p w:rsidR="00000000" w:rsidDel="00000000" w:rsidP="00000000" w:rsidRDefault="00000000" w:rsidRPr="00000000" w14:paraId="00000025">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Emphasizing</w:t>
      </w:r>
      <w:r w:rsidDel="00000000" w:rsidR="00000000" w:rsidRPr="00000000">
        <w:rPr>
          <w:rFonts w:ascii="Times New Roman" w:cs="Times New Roman" w:eastAsia="Times New Roman" w:hAnsi="Times New Roman"/>
          <w:sz w:val="20"/>
          <w:szCs w:val="20"/>
          <w:rtl w:val="0"/>
        </w:rPr>
        <w:t xml:space="preserve"> the necessity of balancing immediate humanitarian assistance with medium- and long-term reconstruction of food supply systems,</w:t>
      </w:r>
    </w:p>
    <w:p w:rsidR="00000000" w:rsidDel="00000000" w:rsidP="00000000" w:rsidRDefault="00000000" w:rsidRPr="00000000" w14:paraId="00000026">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that assistance delivered through existing United Nations agencies represents the most effective and coordinated means of international cooperation,</w:t>
      </w:r>
    </w:p>
    <w:p w:rsidR="00000000" w:rsidDel="00000000" w:rsidP="00000000" w:rsidRDefault="00000000" w:rsidRPr="00000000" w14:paraId="00000027">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international recognition and implementation of the principle of the non-weaponization of food remain insufficient in practice,</w:t>
      </w:r>
    </w:p>
    <w:p w:rsidR="00000000" w:rsidDel="00000000" w:rsidP="00000000" w:rsidRDefault="00000000" w:rsidRPr="00000000" w14:paraId="00000028">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importance of a rules-based international order as the foundation for global peace and stability,</w:t>
      </w:r>
    </w:p>
    <w:p w:rsidR="00000000" w:rsidDel="00000000" w:rsidP="00000000" w:rsidRDefault="00000000" w:rsidRPr="00000000" w14:paraId="00000029">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particular logistical challenges faced by island and archipelagic States, including higher transportation costs and vulnerability to supply disruptions,</w:t>
      </w:r>
    </w:p>
    <w:p w:rsidR="00000000" w:rsidDel="00000000" w:rsidP="00000000" w:rsidRDefault="00000000" w:rsidRPr="00000000" w14:paraId="0000002A">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potential role of regional food logistics hubs in mitigating such challenges through aggregation, storage, and redistribution of food supplies,</w:t>
      </w:r>
    </w:p>
    <w:p w:rsidR="00000000" w:rsidDel="00000000" w:rsidP="00000000" w:rsidRDefault="00000000" w:rsidRPr="00000000" w14:paraId="0000002B">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importance of protecting agricultural land, infrastructure, and resources essential for food production during armed conflict,</w:t>
      </w:r>
    </w:p>
    <w:p w:rsidR="00000000" w:rsidDel="00000000" w:rsidP="00000000" w:rsidRDefault="00000000" w:rsidRPr="00000000" w14:paraId="0000002C">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potential of agricultural technologies, including water-efficient farming methods and vertical farming, to enhance food system resilience,</w:t>
      </w:r>
    </w:p>
    <w:p w:rsidR="00000000" w:rsidDel="00000000" w:rsidP="00000000" w:rsidRDefault="00000000" w:rsidRPr="00000000" w14:paraId="0000002D">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importance of maintaining secure and functional trade routes, including ports, airports, and border crossings, for the uninterrupted flow of food supplies during armed conflict,</w:t>
      </w:r>
    </w:p>
    <w:p w:rsidR="00000000" w:rsidDel="00000000" w:rsidP="00000000" w:rsidRDefault="00000000" w:rsidRPr="00000000" w14:paraId="0000002E">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Reaffirming</w:t>
      </w:r>
      <w:r w:rsidDel="00000000" w:rsidR="00000000" w:rsidRPr="00000000">
        <w:rPr>
          <w:rFonts w:ascii="Times New Roman" w:cs="Times New Roman" w:eastAsia="Times New Roman" w:hAnsi="Times New Roman"/>
          <w:color w:val="000000"/>
          <w:sz w:val="20"/>
          <w:szCs w:val="20"/>
          <w:rtl w:val="0"/>
        </w:rPr>
        <w:t xml:space="preserve"> that diversification of food supply sources and routes contributes to the resilience of the global food system and serves as a preventive measure against future food crises,</w:t>
      </w:r>
    </w:p>
    <w:p w:rsidR="00000000" w:rsidDel="00000000" w:rsidP="00000000" w:rsidRDefault="00000000" w:rsidRPr="00000000" w14:paraId="0000002F">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Reaffirming </w:t>
      </w:r>
      <w:r w:rsidDel="00000000" w:rsidR="00000000" w:rsidRPr="00000000">
        <w:rPr>
          <w:rFonts w:ascii="Times New Roman" w:cs="Times New Roman" w:eastAsia="Times New Roman" w:hAnsi="Times New Roman"/>
          <w:color w:val="000000"/>
          <w:sz w:val="20"/>
          <w:szCs w:val="20"/>
          <w:rtl w:val="0"/>
        </w:rPr>
        <w:t xml:space="preserve">that food assistance should be implemented in a phased and continuous manner during and after armed conflict until food supply stability is fully restored,</w:t>
      </w:r>
    </w:p>
    <w:p w:rsidR="00000000" w:rsidDel="00000000" w:rsidP="00000000" w:rsidRDefault="00000000" w:rsidRPr="00000000" w14:paraId="00000030">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Reaffirming </w:t>
      </w:r>
      <w:r w:rsidDel="00000000" w:rsidR="00000000" w:rsidRPr="00000000">
        <w:rPr>
          <w:rFonts w:ascii="Times New Roman" w:cs="Times New Roman" w:eastAsia="Times New Roman" w:hAnsi="Times New Roman"/>
          <w:color w:val="000000"/>
          <w:sz w:val="20"/>
          <w:szCs w:val="20"/>
          <w:rtl w:val="0"/>
        </w:rPr>
        <w:t xml:space="preserve">that renewed international consensus on the principle of the non-weaponization of food safeguards stable food supplies during armed conflict and contributes to the prevention of future conflicts,</w:t>
      </w:r>
    </w:p>
    <w:p w:rsidR="00000000" w:rsidDel="00000000" w:rsidP="00000000" w:rsidRDefault="00000000" w:rsidRPr="00000000" w14:paraId="00000031">
      <w:pPr>
        <w:spacing w:after="240" w:before="240" w:lineRule="auto"/>
        <w:ind w:firstLine="850"/>
        <w:rPr>
          <w:rFonts w:ascii="Times New Roman" w:cs="Times New Roman" w:eastAsia="Times New Roman" w:hAnsi="Times New Roman"/>
          <w:color w:val="000000"/>
          <w:sz w:val="20"/>
          <w:szCs w:val="20"/>
        </w:rPr>
      </w:pPr>
      <w:sdt>
        <w:sdtPr>
          <w:id w:val="1138153106"/>
          <w:tag w:val="goog_rdk_0"/>
        </w:sdtPr>
        <w:sdtContent>
          <w:commentRangeStart w:id="0"/>
        </w:sdtContent>
      </w:sdt>
      <w:r w:rsidDel="00000000" w:rsidR="00000000" w:rsidRPr="00000000">
        <w:rPr>
          <w:rFonts w:ascii="Times New Roman" w:cs="Times New Roman" w:eastAsia="Times New Roman" w:hAnsi="Times New Roman"/>
          <w:i w:val="1"/>
          <w:iCs w:val="1"/>
          <w:color w:val="000000"/>
          <w:sz w:val="20"/>
          <w:szCs w:val="20"/>
          <w:rtl w:val="0"/>
        </w:rPr>
        <w:t xml:space="preserve">Alarmed by </w:t>
      </w:r>
      <w:r w:rsidDel="00000000" w:rsidR="00000000" w:rsidRPr="00000000">
        <w:rPr>
          <w:rFonts w:ascii="Times New Roman" w:cs="Times New Roman" w:eastAsia="Times New Roman" w:hAnsi="Times New Roman"/>
          <w:color w:val="000000"/>
          <w:sz w:val="20"/>
          <w:szCs w:val="20"/>
          <w:rtl w:val="0"/>
        </w:rPr>
        <w:t xml:space="preserve">t</w:t>
      </w:r>
      <w:commentRangeEnd w:id="0"/>
      <w:r w:rsidDel="00000000" w:rsidR="00000000" w:rsidRPr="00000000">
        <w:commentReference w:id="0"/>
      </w:r>
      <w:r w:rsidDel="00000000" w:rsidR="00000000" w:rsidRPr="00000000">
        <w:rPr>
          <w:rFonts w:ascii="Times New Roman" w:cs="Times New Roman" w:eastAsia="Times New Roman" w:hAnsi="Times New Roman"/>
          <w:color w:val="000000"/>
          <w:sz w:val="20"/>
          <w:szCs w:val="20"/>
          <w:rtl w:val="0"/>
        </w:rPr>
        <w:t xml:space="preserve">he 40% drop in funding available for WFP as of 2025 compared to last year,</w:t>
      </w:r>
    </w:p>
    <w:p w:rsidR="00000000" w:rsidDel="00000000" w:rsidP="00000000" w:rsidRDefault="00000000" w:rsidRPr="00000000" w14:paraId="00000032">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Recognizing </w:t>
      </w:r>
      <w:r w:rsidDel="00000000" w:rsidR="00000000" w:rsidRPr="00000000">
        <w:rPr>
          <w:rFonts w:ascii="Times New Roman" w:cs="Times New Roman" w:eastAsia="Times New Roman" w:hAnsi="Times New Roman"/>
          <w:color w:val="000000"/>
          <w:sz w:val="20"/>
          <w:szCs w:val="20"/>
          <w:rtl w:val="0"/>
        </w:rPr>
        <w:t xml:space="preserve">that in 2024, only 5% of WFP contributions to the Middle East, North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Africa, Eastern Europe, and Eurasia (MENAEE) region were directly allocable at the discretion of the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WFP,</w:t>
      </w:r>
    </w:p>
    <w:p w:rsidR="00000000" w:rsidDel="00000000" w:rsidP="00000000" w:rsidRDefault="00000000" w:rsidRPr="00000000" w14:paraId="00000033">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Concerned</w:t>
      </w:r>
      <w:r w:rsidDel="00000000" w:rsidR="00000000" w:rsidRPr="00000000">
        <w:rPr>
          <w:rFonts w:ascii="Times New Roman" w:cs="Times New Roman" w:eastAsia="Times New Roman" w:hAnsi="Times New Roman"/>
          <w:color w:val="000000"/>
          <w:sz w:val="20"/>
          <w:szCs w:val="20"/>
          <w:rtl w:val="0"/>
        </w:rPr>
        <w:t xml:space="preserve"> with the fact that over 60% of donation to the WFP was earmarked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WFP and IBRD to establish systems to promptly provide the following assistance in response to requests from countries in conflict that require support:</w:t>
      </w:r>
    </w:p>
    <w:p w:rsidR="00000000" w:rsidDel="00000000" w:rsidP="00000000" w:rsidRDefault="00000000" w:rsidRPr="00000000" w14:paraId="0000003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ood assistance that takes into account nutritional balance and expiration dates,</w:t>
      </w:r>
    </w:p>
    <w:p w:rsidR="00000000" w:rsidDel="00000000" w:rsidP="00000000" w:rsidRDefault="00000000" w:rsidRPr="00000000" w14:paraId="0000003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inancial and technical support for rebuilding public infrastructure, such as electricity and water supply systems;</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FAO and IBRD to provide aid for restore countries experiencing conflict or affected by its effects to pre-conflict levels of the following:</w:t>
      </w:r>
    </w:p>
    <w:p w:rsidR="00000000" w:rsidDel="00000000" w:rsidP="00000000" w:rsidRDefault="00000000" w:rsidRPr="00000000" w14:paraId="0000003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echnical assistance for agriculture to enable domestic production and supply,</w:t>
      </w:r>
    </w:p>
    <w:p w:rsidR="00000000" w:rsidDel="00000000" w:rsidP="00000000" w:rsidRDefault="00000000" w:rsidRPr="00000000" w14:paraId="0000003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rovision of know-how to enable the country's own people to develop and maintain infrastructure,</w:t>
      </w:r>
    </w:p>
    <w:p w:rsidR="00000000" w:rsidDel="00000000" w:rsidP="00000000" w:rsidRDefault="00000000" w:rsidRPr="00000000" w14:paraId="0000003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inancial support for rebuilding food supply networks, including domestic food markets,</w:t>
      </w:r>
    </w:p>
    <w:p w:rsidR="00000000" w:rsidDel="00000000" w:rsidP="00000000" w:rsidRDefault="00000000" w:rsidRPr="00000000" w14:paraId="0000003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inancial support for the introduction of agricultural machinery;</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40" w:lineRule="auto"/>
        <w:ind w:left="1290" w:right="0" w:hanging="440"/>
        <w:jc w:val="left"/>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capable of providing assistance to conflict-affected countries, as well as existing United Nations agencies such as the FAO, the WFP, the IBRD, and other humanitarian organizations and relevant stakeholders, to dispatch personnel under the following conditions: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360" w:lineRule="auto"/>
        <w:ind w:left="173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eployment shall be conducted only when safety in conflict-affected areas can be ensured,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360" w:lineRule="auto"/>
        <w:ind w:left="173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riority shall be given to personnel engaged in dialogue with local stakeholders and parties to the conflict,</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360" w:lineRule="auto"/>
        <w:ind w:left="173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ersonnel shall be deployed to support the following activities: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36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onitoring and reporting on food insecurity in conflict-affected areas,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36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acilitating the rapid delivery of humanitarian food assistance,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36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roviding guidance on agricultural techniques related to food production for local recovery, or establishing foundations to improve food access through the development of domestic markets and distribution infrastructure,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36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upporting the rehabilitation and development of infrastructure damaged by conflict;</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countries with financial capacity to provide increased financial support to United Nations agencies such as the WFP and FAO;</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WFP to provide financial support for the protection of internally displaced persons and refugees;</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Urges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WFP to establish humanitarian corridors to deliver food to civilians;</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Emphasizes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that the use of force against humanitarian corridors is not permitted;</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Reaffirms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that states who use hunger as a weapon, may constitute a war crime that united nations security council resolutions have emphasized;</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Stresses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member states </w:t>
      </w:r>
      <w:r w:rsidDel="00000000" w:rsidR="00000000" w:rsidRPr="00000000">
        <w:rPr>
          <w:rFonts w:ascii="Times New Roman" w:cs="Times New Roman" w:eastAsia="Times New Roman" w:hAnsi="Times New Roman"/>
          <w:sz w:val="20"/>
          <w:szCs w:val="20"/>
          <w:rtl w:val="0"/>
        </w:rPr>
        <w:t xml:space="preserve">that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act of destruction and sanctions against facilities and agricultural regions deeply involved in domestic and international trade contravene international humanitarian law; </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WFP to Support food-exporting countries in enhancing their capacity to anticipate international food security risks and consider appropriate response measures;</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Member States to promote the diversification of food import sources and supply routes during peacetime and to strengthen the resilience of food supply chains through regional and international cooperation;</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to strengthen regional and international cooperation to improve the stability of global food supply chains, including through information-sharing, early-warning mechanisms, and coordinated responses to supply disruptions;</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WTO to voluntary utilization and development of regional food logistics hubs, including ports, airports, storage facilities, and distribution centers, particularly to support island, archipelagic, and import-dependent States;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with established logistical capacity to voluntarily support neighboring and import-dependent countries by serving as regional transit and coordination hubs for food supplies and humanitarian assistance;</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to voluntary and non-binding basis, to maintain minimum levels of food transit across borders and through key trade routes during periods of armed conflict or border closures, in accordance with international law;</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to have a comprehensive approach integrating immediate humanitarian assistance with agricultural recovery and long-term food system reconstruction;</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IFAD to voluntary investment in agricultural technologies, including water-efficient farming methods, vertical farming, predictive technologies, and agricultural research, as well as the sharing of best practices and data through international cooperation mechanisms;</w:t>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Invites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to assess and identify, according to national circumstances, appropriate crop types and cultivation methods, and to share relevant information through international and regional frameworks;</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in cooperation with WFP, to establish mechanisms ensuring that trade-critical ports, airports, and hubs remain open and secure during armed conflict exclusively for the transit of essential food supplies and fertilizers, including the digital recording of cargos within WFP-coordinated systems to ensure transparency and non-militarization;</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to remain actively seized of the matter;</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Member States to remove barriers that impede humanitarian trade and relief operations, including through:</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eviewing unilateral measures that unintentionally restrict humanitarian procurement, transport, and,delivery of food,</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trengthening and operationalizing humanitarian exemptions in all sanctions regimes through clear, time-bound licensing and streamlined customs procedures,</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ncouraging financial institutions, insurers, and transport operators to implement due diligence that enables legitimate humanitarian transactions and reduces over-compliance;</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strengthening predictable and equitable financing for WFP and other relevant humanitarian actors by: </w:t>
      </w:r>
    </w:p>
    <w:p w:rsidR="00000000" w:rsidDel="00000000" w:rsidP="00000000" w:rsidRDefault="00000000" w:rsidRPr="00000000" w14:paraId="000000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88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replacing current voluntary contribution with a minimum contribution framework based on capacity to pay,</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88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establishing a contingency reserve for rapid response to conflict-driven supply shocks and sudden funding shortfalls,</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88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promoting multi-year pledges and periodic replenishment conferences for major emergency operations,</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88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mpowering the World Food Programme to independently determine the allocation and use of its contributions;</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Security Council, acting under Article 29 of the Charter of the United Nations and in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line with Security Council resolution 2417 (2018), to establish a subsidiary organ mandated to:</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collect and assess information regarding the obstruction or denial of humanitarian access, including attacks on humanitarian personnel, routes, and objects indispensable to civilian survival,</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regularly to the Security Council and, where appropriate, to the General Assembly on compliance with international humanitarian law related to conflict-induced food insecurity,</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recommend appropriate measures, consistent with existing Security Council practice, to ensure compliance and accountability;</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24.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set priorities to people who are in need of humanitarian aid in order such as children, pregnant women, and immobilized or disabled individuals.</w:t>
      </w:r>
    </w:p>
    <w:sectPr>
      <w:headerReference r:id="rId10" w:type="default"/>
      <w:footerReference r:id="rId11" w:type="default"/>
      <w:pgSz w:h="16838" w:w="11906" w:orient="portrait"/>
      <w:pgMar w:bottom="1440" w:top="1440" w:left="1080" w:right="1080" w:header="794" w:footer="99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IMUN2026_B2" w:id="0" w:date="2026-01-11T06:06:45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36164295"/>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形式おかしい</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Conference B2</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730" w:hanging="440"/>
      </w:pPr>
      <w:rPr/>
    </w:lvl>
    <w:lvl w:ilvl="1">
      <w:start w:val="1"/>
      <w:numFmt w:val="decimal"/>
      <w:lvlText w:val="(%2)"/>
      <w:lvlJc w:val="left"/>
      <w:pPr>
        <w:ind w:left="2170" w:hanging="440"/>
      </w:pPr>
      <w:rPr/>
    </w:lvl>
    <w:lvl w:ilvl="2">
      <w:start w:val="1"/>
      <w:numFmt w:val="decimal"/>
      <w:lvlText w:val="%3"/>
      <w:lvlJc w:val="left"/>
      <w:pPr>
        <w:ind w:left="2610" w:hanging="440"/>
      </w:pPr>
      <w:rPr/>
    </w:lvl>
    <w:lvl w:ilvl="3">
      <w:start w:val="1"/>
      <w:numFmt w:val="decimal"/>
      <w:lvlText w:val="%4."/>
      <w:lvlJc w:val="left"/>
      <w:pPr>
        <w:ind w:left="3050" w:hanging="440"/>
      </w:pPr>
      <w:rPr/>
    </w:lvl>
    <w:lvl w:ilvl="4">
      <w:start w:val="1"/>
      <w:numFmt w:val="decimal"/>
      <w:lvlText w:val="(%5)"/>
      <w:lvlJc w:val="left"/>
      <w:pPr>
        <w:ind w:left="3490" w:hanging="440"/>
      </w:pPr>
      <w:rPr/>
    </w:lvl>
    <w:lvl w:ilvl="5">
      <w:start w:val="1"/>
      <w:numFmt w:val="decimal"/>
      <w:lvlText w:val="%6"/>
      <w:lvlJc w:val="left"/>
      <w:pPr>
        <w:ind w:left="3930" w:hanging="440"/>
      </w:pPr>
      <w:rPr/>
    </w:lvl>
    <w:lvl w:ilvl="6">
      <w:start w:val="1"/>
      <w:numFmt w:val="decimal"/>
      <w:lvlText w:val="%7."/>
      <w:lvlJc w:val="left"/>
      <w:pPr>
        <w:ind w:left="4370" w:hanging="440"/>
      </w:pPr>
      <w:rPr/>
    </w:lvl>
    <w:lvl w:ilvl="7">
      <w:start w:val="1"/>
      <w:numFmt w:val="decimal"/>
      <w:lvlText w:val="(%8)"/>
      <w:lvlJc w:val="left"/>
      <w:pPr>
        <w:ind w:left="4810" w:hanging="440"/>
      </w:pPr>
      <w:rPr/>
    </w:lvl>
    <w:lvl w:ilvl="8">
      <w:start w:val="1"/>
      <w:numFmt w:val="decimal"/>
      <w:lvlText w:val="%9"/>
      <w:lvlJc w:val="left"/>
      <w:pPr>
        <w:ind w:left="5250" w:hanging="440"/>
      </w:pPr>
      <w:rPr/>
    </w:lvl>
  </w:abstractNum>
  <w:abstractNum w:abstractNumId="2">
    <w:lvl w:ilvl="0">
      <w:start w:val="1"/>
      <w:numFmt w:val="upperRoman"/>
      <w:lvlText w:val="%1."/>
      <w:lvlJc w:val="left"/>
      <w:pPr>
        <w:ind w:left="1880" w:hanging="440"/>
      </w:pPr>
      <w:rPr/>
    </w:lvl>
    <w:lvl w:ilvl="1">
      <w:start w:val="1"/>
      <w:numFmt w:val="decimal"/>
      <w:lvlText w:val="(%2)"/>
      <w:lvlJc w:val="left"/>
      <w:pPr>
        <w:ind w:left="2320" w:hanging="440"/>
      </w:pPr>
      <w:rPr/>
    </w:lvl>
    <w:lvl w:ilvl="2">
      <w:start w:val="1"/>
      <w:numFmt w:val="decimal"/>
      <w:lvlText w:val="%3"/>
      <w:lvlJc w:val="left"/>
      <w:pPr>
        <w:ind w:left="2760" w:hanging="440"/>
      </w:pPr>
      <w:rPr/>
    </w:lvl>
    <w:lvl w:ilvl="3">
      <w:start w:val="1"/>
      <w:numFmt w:val="decimal"/>
      <w:lvlText w:val="%4."/>
      <w:lvlJc w:val="left"/>
      <w:pPr>
        <w:ind w:left="3200" w:hanging="440"/>
      </w:pPr>
      <w:rPr/>
    </w:lvl>
    <w:lvl w:ilvl="4">
      <w:start w:val="1"/>
      <w:numFmt w:val="decimal"/>
      <w:lvlText w:val="(%5)"/>
      <w:lvlJc w:val="left"/>
      <w:pPr>
        <w:ind w:left="3640" w:hanging="440"/>
      </w:pPr>
      <w:rPr/>
    </w:lvl>
    <w:lvl w:ilvl="5">
      <w:start w:val="1"/>
      <w:numFmt w:val="decimal"/>
      <w:lvlText w:val="%6"/>
      <w:lvlJc w:val="left"/>
      <w:pPr>
        <w:ind w:left="4080" w:hanging="440"/>
      </w:pPr>
      <w:rPr/>
    </w:lvl>
    <w:lvl w:ilvl="6">
      <w:start w:val="1"/>
      <w:numFmt w:val="decimal"/>
      <w:lvlText w:val="%7."/>
      <w:lvlJc w:val="left"/>
      <w:pPr>
        <w:ind w:left="4520" w:hanging="440"/>
      </w:pPr>
      <w:rPr/>
    </w:lvl>
    <w:lvl w:ilvl="7">
      <w:start w:val="1"/>
      <w:numFmt w:val="decimal"/>
      <w:lvlText w:val="(%8)"/>
      <w:lvlJc w:val="left"/>
      <w:pPr>
        <w:ind w:left="4960" w:hanging="440"/>
      </w:pPr>
      <w:rPr/>
    </w:lvl>
    <w:lvl w:ilvl="8">
      <w:start w:val="1"/>
      <w:numFmt w:val="decimal"/>
      <w:lvlText w:val="%9"/>
      <w:lvlJc w:val="left"/>
      <w:pPr>
        <w:ind w:left="5400" w:hanging="440"/>
      </w:pPr>
      <w:rPr/>
    </w:lvl>
  </w:abstractNum>
  <w:abstractNum w:abstractNumId="3">
    <w:lvl w:ilvl="0">
      <w:start w:val="1"/>
      <w:numFmt w:val="upperLetter"/>
      <w:lvlText w:val="%1)"/>
      <w:lvlJc w:val="left"/>
      <w:pPr>
        <w:ind w:left="1730" w:hanging="440"/>
      </w:pPr>
      <w:rPr/>
    </w:lvl>
    <w:lvl w:ilvl="1">
      <w:start w:val="1"/>
      <w:numFmt w:val="decimal"/>
      <w:lvlText w:val="(%2)"/>
      <w:lvlJc w:val="left"/>
      <w:pPr>
        <w:ind w:left="2170" w:hanging="440"/>
      </w:pPr>
      <w:rPr/>
    </w:lvl>
    <w:lvl w:ilvl="2">
      <w:start w:val="1"/>
      <w:numFmt w:val="decimal"/>
      <w:lvlText w:val="%3"/>
      <w:lvlJc w:val="left"/>
      <w:pPr>
        <w:ind w:left="2610" w:hanging="440"/>
      </w:pPr>
      <w:rPr/>
    </w:lvl>
    <w:lvl w:ilvl="3">
      <w:start w:val="1"/>
      <w:numFmt w:val="decimal"/>
      <w:lvlText w:val="%4."/>
      <w:lvlJc w:val="left"/>
      <w:pPr>
        <w:ind w:left="3050" w:hanging="440"/>
      </w:pPr>
      <w:rPr/>
    </w:lvl>
    <w:lvl w:ilvl="4">
      <w:start w:val="1"/>
      <w:numFmt w:val="decimal"/>
      <w:lvlText w:val="(%5)"/>
      <w:lvlJc w:val="left"/>
      <w:pPr>
        <w:ind w:left="3490" w:hanging="440"/>
      </w:pPr>
      <w:rPr/>
    </w:lvl>
    <w:lvl w:ilvl="5">
      <w:start w:val="1"/>
      <w:numFmt w:val="decimal"/>
      <w:lvlText w:val="%6"/>
      <w:lvlJc w:val="left"/>
      <w:pPr>
        <w:ind w:left="3930" w:hanging="440"/>
      </w:pPr>
      <w:rPr/>
    </w:lvl>
    <w:lvl w:ilvl="6">
      <w:start w:val="1"/>
      <w:numFmt w:val="decimal"/>
      <w:lvlText w:val="%7."/>
      <w:lvlJc w:val="left"/>
      <w:pPr>
        <w:ind w:left="4370" w:hanging="440"/>
      </w:pPr>
      <w:rPr/>
    </w:lvl>
    <w:lvl w:ilvl="7">
      <w:start w:val="1"/>
      <w:numFmt w:val="decimal"/>
      <w:lvlText w:val="(%8)"/>
      <w:lvlJc w:val="left"/>
      <w:pPr>
        <w:ind w:left="4810" w:hanging="440"/>
      </w:pPr>
      <w:rPr/>
    </w:lvl>
    <w:lvl w:ilvl="8">
      <w:start w:val="1"/>
      <w:numFmt w:val="decimal"/>
      <w:lvlText w:val="%9"/>
      <w:lvlJc w:val="left"/>
      <w:pPr>
        <w:ind w:left="5250" w:hanging="440"/>
      </w:pPr>
      <w:rPr/>
    </w:lvl>
  </w:abstractNum>
  <w:abstractNum w:abstractNumId="4">
    <w:lvl w:ilvl="0">
      <w:start w:val="1"/>
      <w:numFmt w:val="upperLetter"/>
      <w:lvlText w:val="%1)"/>
      <w:lvlJc w:val="left"/>
      <w:pPr>
        <w:ind w:left="1720" w:hanging="440"/>
      </w:pPr>
      <w:rPr/>
    </w:lvl>
    <w:lvl w:ilvl="1">
      <w:start w:val="1"/>
      <w:numFmt w:val="decimal"/>
      <w:lvlText w:val="(%2)"/>
      <w:lvlJc w:val="left"/>
      <w:pPr>
        <w:ind w:left="2160" w:hanging="440"/>
      </w:pPr>
      <w:rPr/>
    </w:lvl>
    <w:lvl w:ilvl="2">
      <w:start w:val="1"/>
      <w:numFmt w:val="decimal"/>
      <w:lvlText w:val="%3"/>
      <w:lvlJc w:val="left"/>
      <w:pPr>
        <w:ind w:left="2600" w:hanging="440"/>
      </w:pPr>
      <w:rPr/>
    </w:lvl>
    <w:lvl w:ilvl="3">
      <w:start w:val="1"/>
      <w:numFmt w:val="decimal"/>
      <w:lvlText w:val="%4."/>
      <w:lvlJc w:val="left"/>
      <w:pPr>
        <w:ind w:left="3040" w:hanging="440"/>
      </w:pPr>
      <w:rPr/>
    </w:lvl>
    <w:lvl w:ilvl="4">
      <w:start w:val="1"/>
      <w:numFmt w:val="decimal"/>
      <w:lvlText w:val="(%5)"/>
      <w:lvlJc w:val="left"/>
      <w:pPr>
        <w:ind w:left="3480" w:hanging="440"/>
      </w:pPr>
      <w:rPr/>
    </w:lvl>
    <w:lvl w:ilvl="5">
      <w:start w:val="1"/>
      <w:numFmt w:val="decimal"/>
      <w:lvlText w:val="%6"/>
      <w:lvlJc w:val="left"/>
      <w:pPr>
        <w:ind w:left="3920" w:hanging="440"/>
      </w:pPr>
      <w:rPr/>
    </w:lvl>
    <w:lvl w:ilvl="6">
      <w:start w:val="1"/>
      <w:numFmt w:val="decimal"/>
      <w:lvlText w:val="%7."/>
      <w:lvlJc w:val="left"/>
      <w:pPr>
        <w:ind w:left="4360" w:hanging="440"/>
      </w:pPr>
      <w:rPr/>
    </w:lvl>
    <w:lvl w:ilvl="7">
      <w:start w:val="1"/>
      <w:numFmt w:val="decimal"/>
      <w:lvlText w:val="(%8)"/>
      <w:lvlJc w:val="left"/>
      <w:pPr>
        <w:ind w:left="4800" w:hanging="440"/>
      </w:pPr>
      <w:rPr/>
    </w:lvl>
    <w:lvl w:ilvl="8">
      <w:start w:val="1"/>
      <w:numFmt w:val="decimal"/>
      <w:lvlText w:val="%9"/>
      <w:lvlJc w:val="left"/>
      <w:pPr>
        <w:ind w:left="5240" w:hanging="440"/>
      </w:pPr>
      <w:rPr/>
    </w:lvl>
  </w:abstractNum>
  <w:abstractNum w:abstractNumId="5">
    <w:lvl w:ilvl="0">
      <w:start w:val="1"/>
      <w:numFmt w:val="upperLetter"/>
      <w:lvlText w:val="%1)"/>
      <w:lvlJc w:val="left"/>
      <w:pPr>
        <w:ind w:left="1880" w:hanging="440"/>
      </w:pPr>
      <w:rPr/>
    </w:lvl>
    <w:lvl w:ilvl="1">
      <w:start w:val="1"/>
      <w:numFmt w:val="decimal"/>
      <w:lvlText w:val="(%2)"/>
      <w:lvlJc w:val="left"/>
      <w:pPr>
        <w:ind w:left="2320" w:hanging="440"/>
      </w:pPr>
      <w:rPr/>
    </w:lvl>
    <w:lvl w:ilvl="2">
      <w:start w:val="1"/>
      <w:numFmt w:val="decimal"/>
      <w:lvlText w:val="%3"/>
      <w:lvlJc w:val="left"/>
      <w:pPr>
        <w:ind w:left="2760" w:hanging="440"/>
      </w:pPr>
      <w:rPr/>
    </w:lvl>
    <w:lvl w:ilvl="3">
      <w:start w:val="1"/>
      <w:numFmt w:val="decimal"/>
      <w:lvlText w:val="%4."/>
      <w:lvlJc w:val="left"/>
      <w:pPr>
        <w:ind w:left="3200" w:hanging="440"/>
      </w:pPr>
      <w:rPr/>
    </w:lvl>
    <w:lvl w:ilvl="4">
      <w:start w:val="1"/>
      <w:numFmt w:val="decimal"/>
      <w:lvlText w:val="(%5)"/>
      <w:lvlJc w:val="left"/>
      <w:pPr>
        <w:ind w:left="3640" w:hanging="440"/>
      </w:pPr>
      <w:rPr/>
    </w:lvl>
    <w:lvl w:ilvl="5">
      <w:start w:val="1"/>
      <w:numFmt w:val="decimal"/>
      <w:lvlText w:val="%6"/>
      <w:lvlJc w:val="left"/>
      <w:pPr>
        <w:ind w:left="4080" w:hanging="440"/>
      </w:pPr>
      <w:rPr/>
    </w:lvl>
    <w:lvl w:ilvl="6">
      <w:start w:val="1"/>
      <w:numFmt w:val="decimal"/>
      <w:lvlText w:val="%7."/>
      <w:lvlJc w:val="left"/>
      <w:pPr>
        <w:ind w:left="4520" w:hanging="440"/>
      </w:pPr>
      <w:rPr/>
    </w:lvl>
    <w:lvl w:ilvl="7">
      <w:start w:val="1"/>
      <w:numFmt w:val="decimal"/>
      <w:lvlText w:val="(%8)"/>
      <w:lvlJc w:val="left"/>
      <w:pPr>
        <w:ind w:left="4960" w:hanging="440"/>
      </w:pPr>
      <w:rPr/>
    </w:lvl>
    <w:lvl w:ilvl="8">
      <w:start w:val="1"/>
      <w:numFmt w:val="decimal"/>
      <w:lvlText w:val="%9"/>
      <w:lvlJc w:val="left"/>
      <w:pPr>
        <w:ind w:left="5400" w:hanging="440"/>
      </w:pPr>
      <w:rPr/>
    </w:lvl>
  </w:abstractNum>
  <w:abstractNum w:abstractNumId="6">
    <w:lvl w:ilvl="0">
      <w:start w:val="1"/>
      <w:numFmt w:val="decimal"/>
      <w:lvlText w:val="%1."/>
      <w:lvlJc w:val="left"/>
      <w:pPr>
        <w:ind w:left="1290" w:hanging="440"/>
      </w:pPr>
      <w:rPr>
        <w:rFonts w:ascii="Times New Roman" w:cs="Times New Roman" w:eastAsia="Times New Roman" w:hAnsi="Times New Roman"/>
        <w:i w:val="0"/>
        <w:iCs w:val="0"/>
        <w:sz w:val="20"/>
        <w:szCs w:val="20"/>
      </w:rPr>
    </w:lvl>
    <w:lvl w:ilvl="1">
      <w:start w:val="1"/>
      <w:numFmt w:val="upperLetter"/>
      <w:lvlText w:val="%2)"/>
      <w:lvlJc w:val="left"/>
      <w:pPr>
        <w:ind w:left="1730" w:hanging="440"/>
      </w:pPr>
      <w:rPr>
        <w:i w:val="0"/>
        <w:iCs w:val="0"/>
      </w:rPr>
    </w:lvl>
    <w:lvl w:ilvl="2">
      <w:start w:val="1"/>
      <w:numFmt w:val="decimal"/>
      <w:lvlText w:val="%3"/>
      <w:lvlJc w:val="left"/>
      <w:pPr>
        <w:ind w:left="2170" w:hanging="440"/>
      </w:pPr>
      <w:rPr/>
    </w:lvl>
    <w:lvl w:ilvl="3">
      <w:start w:val="1"/>
      <w:numFmt w:val="decimal"/>
      <w:lvlText w:val="%4."/>
      <w:lvlJc w:val="left"/>
      <w:pPr>
        <w:ind w:left="2610" w:hanging="440"/>
      </w:pPr>
      <w:rPr/>
    </w:lvl>
    <w:lvl w:ilvl="4">
      <w:start w:val="1"/>
      <w:numFmt w:val="decimal"/>
      <w:lvlText w:val="(%5)"/>
      <w:lvlJc w:val="left"/>
      <w:pPr>
        <w:ind w:left="3050" w:hanging="440"/>
      </w:pPr>
      <w:rPr/>
    </w:lvl>
    <w:lvl w:ilvl="5">
      <w:start w:val="1"/>
      <w:numFmt w:val="decimal"/>
      <w:lvlText w:val="%6"/>
      <w:lvlJc w:val="left"/>
      <w:pPr>
        <w:ind w:left="3490" w:hanging="440"/>
      </w:pPr>
      <w:rPr/>
    </w:lvl>
    <w:lvl w:ilvl="6">
      <w:start w:val="1"/>
      <w:numFmt w:val="decimal"/>
      <w:lvlText w:val="%7."/>
      <w:lvlJc w:val="left"/>
      <w:pPr>
        <w:ind w:left="3930" w:hanging="440"/>
      </w:pPr>
      <w:rPr/>
    </w:lvl>
    <w:lvl w:ilvl="7">
      <w:start w:val="1"/>
      <w:numFmt w:val="decimal"/>
      <w:lvlText w:val="(%8)"/>
      <w:lvlJc w:val="left"/>
      <w:pPr>
        <w:ind w:left="4370" w:hanging="440"/>
      </w:pPr>
      <w:rPr/>
    </w:lvl>
    <w:lvl w:ilvl="8">
      <w:start w:val="1"/>
      <w:numFmt w:val="decimal"/>
      <w:lvlText w:val="%9"/>
      <w:lvlJc w:val="left"/>
      <w:pPr>
        <w:ind w:left="4810" w:hanging="4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4">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header"/>
    <w:link w:val="a6"/>
    <w:uiPriority w:val="99"/>
    <w:unhideWhenUsed w:val="1"/>
    <w:rsid w:val="00D3429B"/>
    <w:pPr>
      <w:tabs>
        <w:tab w:val="center" w:pos="4252"/>
        <w:tab w:val="right" w:pos="8504"/>
      </w:tabs>
      <w:snapToGrid w:val="0"/>
    </w:pPr>
  </w:style>
  <w:style w:type="character" w:styleId="a6" w:customStyle="1">
    <w:name w:val="ヘッダー (文字)"/>
    <w:basedOn w:val="a0"/>
    <w:link w:val="a5"/>
    <w:uiPriority w:val="99"/>
    <w:rsid w:val="00D3429B"/>
  </w:style>
  <w:style w:type="paragraph" w:styleId="a7">
    <w:name w:val="footer"/>
    <w:link w:val="a8"/>
    <w:uiPriority w:val="99"/>
    <w:unhideWhenUsed w:val="1"/>
    <w:rsid w:val="00D3429B"/>
    <w:pPr>
      <w:tabs>
        <w:tab w:val="center" w:pos="4252"/>
        <w:tab w:val="right" w:pos="8504"/>
      </w:tabs>
      <w:snapToGrid w:val="0"/>
    </w:pPr>
  </w:style>
  <w:style w:type="character" w:styleId="a8" w:customStyle="1">
    <w:name w:val="フッター (文字)"/>
    <w:basedOn w:val="a0"/>
    <w:link w:val="a7"/>
    <w:uiPriority w:val="99"/>
    <w:rsid w:val="00D3429B"/>
  </w:style>
  <w:style w:type="paragraph" w:styleId="a9">
    <w:name w:val="List Paragraph"/>
    <w:uiPriority w:val="34"/>
    <w:qFormat w:val="1"/>
    <w:rsid w:val="00C81283"/>
    <w:pPr>
      <w:ind w:left="840" w:leftChars="400"/>
    </w:pPr>
  </w:style>
  <w:style w:type="table" w:styleId="aa" w:customStyle="1">
    <w:basedOn w:val="TableNormal0"/>
    <w:tblPr>
      <w:tblStyleRowBandSize w:val="1"/>
      <w:tblStyleColBandSize w:val="1"/>
      <w:tblCellMar>
        <w:top w:w="0.0" w:type="dxa"/>
        <w:left w:w="108.0" w:type="dxa"/>
        <w:bottom w:w="0.0" w:type="dxa"/>
        <w:right w:w="108.0" w:type="dxa"/>
      </w:tblCellMar>
    </w:tblPr>
  </w:style>
  <w:style w:type="table" w:styleId="ac" w:customStyle="1">
    <w:basedOn w:val="TableNormal0"/>
    <w:tblPr>
      <w:tblStyleRowBandSize w:val="1"/>
      <w:tblStyleColBandSize w:val="1"/>
      <w:tblCellMar>
        <w:top w:w="0.0" w:type="dxa"/>
        <w:left w:w="108.0" w:type="dxa"/>
        <w:bottom w:w="0.0" w:type="dxa"/>
        <w:right w:w="108.0" w:type="dxa"/>
      </w:tblCellMar>
    </w:tblPr>
  </w:style>
  <w:style w:type="paragraph" w:styleId="Web">
    <w:name w:val="Normal (Web)"/>
    <w:basedOn w:val="a"/>
    <w:uiPriority w:val="99"/>
    <w:unhideWhenUsed w:val="1"/>
    <w:rsid w:val="007C6D93"/>
    <w:pPr>
      <w:widowControl w:val="1"/>
      <w:spacing w:after="100" w:afterAutospacing="1" w:before="100" w:beforeAutospacing="1"/>
      <w:jc w:val="left"/>
    </w:pPr>
    <w:rPr>
      <w:rFonts w:ascii="ＭＳ Ｐゴシック" w:cs="ＭＳ Ｐゴシック" w:eastAsia="ＭＳ Ｐゴシック" w:hAnsi="ＭＳ Ｐゴシック"/>
      <w:sz w:val="24"/>
      <w:szCs w:val="24"/>
      <w:lang w:val="en-US"/>
    </w:rPr>
  </w:style>
  <w:style w:type="character" w:styleId="ad">
    <w:name w:val="annotation reference"/>
    <w:basedOn w:val="a0"/>
    <w:uiPriority w:val="99"/>
    <w:semiHidden w:val="1"/>
    <w:unhideWhenUsed w:val="1"/>
    <w:rsid w:val="000105A9"/>
    <w:rPr>
      <w:sz w:val="18"/>
      <w:szCs w:val="18"/>
    </w:rPr>
  </w:style>
  <w:style w:type="paragraph" w:styleId="ae">
    <w:name w:val="annotation text"/>
    <w:basedOn w:val="a"/>
    <w:link w:val="af"/>
    <w:uiPriority w:val="99"/>
    <w:unhideWhenUsed w:val="1"/>
    <w:rsid w:val="000105A9"/>
    <w:pPr>
      <w:jc w:val="left"/>
    </w:pPr>
  </w:style>
  <w:style w:type="character" w:styleId="af" w:customStyle="1">
    <w:name w:val="コメント文字列 (文字)"/>
    <w:basedOn w:val="a0"/>
    <w:link w:val="ae"/>
    <w:uiPriority w:val="99"/>
    <w:rsid w:val="000105A9"/>
  </w:style>
  <w:style w:type="paragraph" w:styleId="af0">
    <w:name w:val="annotation subject"/>
    <w:basedOn w:val="ae"/>
    <w:next w:val="ae"/>
    <w:link w:val="af1"/>
    <w:uiPriority w:val="99"/>
    <w:semiHidden w:val="1"/>
    <w:unhideWhenUsed w:val="1"/>
    <w:rsid w:val="000105A9"/>
    <w:rPr>
      <w:b w:val="1"/>
      <w:bCs w:val="1"/>
    </w:rPr>
  </w:style>
  <w:style w:type="character" w:styleId="af1" w:customStyle="1">
    <w:name w:val="コメント内容 (文字)"/>
    <w:basedOn w:val="af"/>
    <w:link w:val="af0"/>
    <w:uiPriority w:val="99"/>
    <w:semiHidden w:val="1"/>
    <w:rsid w:val="000105A9"/>
    <w:rPr>
      <w:b w:val="1"/>
      <w:bCs w:val="1"/>
    </w:rPr>
  </w:style>
  <w:style w:type="paragraph" w:styleId="af2">
    <w:name w:val="Revision"/>
    <w:hidden w:val="1"/>
    <w:uiPriority w:val="99"/>
    <w:semiHidden w:val="1"/>
    <w:rsid w:val="006A134E"/>
    <w:pPr>
      <w:widowControl w:val="1"/>
      <w:jc w:val="left"/>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QS7aDLVKzHw/Hc4buObmnOi2g==">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2026-01-11T05:54:00Z</dcterms:created>
  <dc:creator>金井快斗</dc:creator>
</cp:coreProperties>
</file>