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34"/>
        <w:gridCol w:w="6164"/>
        <w:gridCol w:w="2448"/>
        <w:tblGridChange w:id="0">
          <w:tblGrid>
            <w:gridCol w:w="1134"/>
            <w:gridCol w:w="6164"/>
            <w:gridCol w:w="244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Japan Educational International Model United Nations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/80/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DR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266700</wp:posOffset>
                  </wp:positionV>
                  <wp:extent cx="590550" cy="57150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United Nations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General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Distr.:General</w:t>
            </w:r>
          </w:p>
        </w:tc>
      </w:tr>
      <w:tr>
        <w:trPr>
          <w:cantSplit w:val="0"/>
          <w:trHeight w:val="106.47949218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11 January, 2024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Original: English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br w:type="textWrapping"/>
        <w:t xml:space="preserve">Eightieth Session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Agenda item XX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General Measures for Food Security Issues Caused by Conflict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Sponsors: Australia, Bosnia and Herzegovina, China, France, Indonesia, Iran, Israel, Japan, Kenya, Libya, Mexico, Nigeria, Pakistan, Panama, Philippines, Russian Federation, Singapore, Ukraine, and United Arab Emirates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ind w:firstLine="84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General Assembly,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Recalling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international humanitarian law, including the Geneva Conventions and Additional Protocols I and II, contains important provisions for the protection of civilians,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Recalling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Sustainable Development Goal (SDG) 2 ”Zero Hunger”, which all member states have endorsed,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Recalling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S/RES/2417,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Recalling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the activities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World Food Programme (WFP), Food Agricultural Organization (FAO), International Bank for Reconstruction and Development (IBRD), World Trade Organization (WTO), and International Fund for Agricultural Development(IFAD), 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Concerned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the ongoing instability and disruption in conflict-affected areas continue to hamper civilian food production, distribution, and access,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necessity of humanitarian food assistance reliably reaching civilians in need without interference,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establishing food security in conflict situations requires both short-term and long-term approaches,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Affirming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protection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must also be provided to people forced to move as a result of conflict,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engaging in combat during the period of receiving support from international organizations may hinder the smooth implementation of such support,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appropriate exports are necessary to resolve food issues,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in conflict-affected countries, not only financial and technical support but also personnel are necessary,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Noting with deep concern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armed conflicts have caused instability in food supply chains and significant price volatility across borders,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excessive dependence on a limited number of food supply sources or exporting countries significantly increases vulnerability to disruptions during crises,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Noting with deep concern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countries with high dependence on food imports, including island and archipelagic States, face heightened risks to food security due to logistical constraints and supply disruptions,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Reaffirming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food security constitutes a fundamental pillar of national stability and international peace,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Concerned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food supply instability often persists well beyond the cessation of armed conflicts,</w:t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necessity of balancing immediate humanitarian assistance with medium and long-term reconstruction of food supply systems,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Reaffirming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assistance delivered through existing United Nations agencies represents the most effective and coordinated means of international cooperation,</w:t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international recognition and implementation of the principle of the non-weaponization of food remain insufficient in practice,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Reaffirming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importance of a rules-based international order as the foundation for global peace and stability,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particular logistical challenges faced by island and archipelagic States, including higher transportation costs and vulnerability to supply disruptions,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potential role of regional food logistics hubs in mitigating such challenges through aggregation, storage, and redistribution of food supplies,</w:t>
      </w:r>
    </w:p>
    <w:p w:rsidR="00000000" w:rsidDel="00000000" w:rsidP="00000000" w:rsidRDefault="00000000" w:rsidRPr="00000000" w14:paraId="0000002C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importance of protecting agricultural land, infrastructure, and resources essential for food production during armed conflict,</w:t>
      </w:r>
    </w:p>
    <w:p w:rsidR="00000000" w:rsidDel="00000000" w:rsidP="00000000" w:rsidRDefault="00000000" w:rsidRPr="00000000" w14:paraId="0000002D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potential of agricultural technologies, including water-efficient farming methods and vertical farming, to enhance food system resilience,</w:t>
      </w:r>
    </w:p>
    <w:p w:rsidR="00000000" w:rsidDel="00000000" w:rsidP="00000000" w:rsidRDefault="00000000" w:rsidRPr="00000000" w14:paraId="0000002E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importance of maintaining secure and functional trade routes, including ports, airports, and border crossings, for the uninterrupted flow of food supplies during armed conflict,</w:t>
      </w:r>
    </w:p>
    <w:p w:rsidR="00000000" w:rsidDel="00000000" w:rsidP="00000000" w:rsidRDefault="00000000" w:rsidRPr="00000000" w14:paraId="0000002F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Reaffirming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diversification of food supply sources and routes contributes to the resilience of the global food system and serves as a preventive measure against future food crises,</w:t>
      </w:r>
    </w:p>
    <w:p w:rsidR="00000000" w:rsidDel="00000000" w:rsidP="00000000" w:rsidRDefault="00000000" w:rsidRPr="00000000" w14:paraId="00000030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Reaffirming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food assistance should be implemented in a phased and continuous manner during and after armed conflict until food supply stability is fully restored,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Reaffirming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renewed international consensus on the principle of the non-weaponization of food safeguards stable food supplies during armed conflict and contributes to the prevention of future conflicts,</w:t>
      </w:r>
    </w:p>
    <w:p w:rsidR="00000000" w:rsidDel="00000000" w:rsidP="00000000" w:rsidRDefault="00000000" w:rsidRPr="00000000" w14:paraId="00000032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Alarmed 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40% drop in funding available for WFP as of 2025 compared to last year,</w:t>
      </w:r>
    </w:p>
    <w:p w:rsidR="00000000" w:rsidDel="00000000" w:rsidP="00000000" w:rsidRDefault="00000000" w:rsidRPr="00000000" w14:paraId="00000033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Recognizing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that in 2024, only 5% of WFP contributions to the Middle East, North Africa, Eastern Europe, and Eurasia (MENAEE) region were directly allocable at the discretion of the WFP,</w:t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ind w:firstLine="85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Concerned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the fact that over 60% of donation to the WFP was earmarked,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WFP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IBRD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support the establishment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systems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promptly provide the following assistance in response to requests from countries in conflict that require support through: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 assistance that takes into account nutritional balance and expiration dates,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 and technical support for rebuilding public infrastructure, such as electricity and water supply systems;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IBRD to provide aid to restore countries experiencing conflict or affected by its effects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pre-conflict levels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 the following: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technical assistance for agriculture to enable domestic production and supply,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provision of know-how to enable the country's own people to develop and maintain infrastructure,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 support for rebuilding food supply networks, including domestic food markets,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financial support for the introduction of agricultural machinery;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before="200" w:line="240" w:lineRule="auto"/>
        <w:ind w:left="129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capable of providing assistance to conflict-affected countries, as well as existing United Nations agencies such as FAO, WFP, IBRD, and other humanitarian organizations and relevant stakeholders, to dispatch personnel under the conditions that: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before="200" w:line="240" w:lineRule="auto"/>
        <w:ind w:left="173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deployment shall be conducted only when safety in conflict-affected areas can be ensured,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before="200" w:line="240" w:lineRule="auto"/>
        <w:ind w:left="173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priority shall be given to personnel engaged in dialogue with local stakeholders and parties to the conflict,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spacing w:before="200" w:line="240" w:lineRule="auto"/>
        <w:ind w:left="173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personnel shall be deployed to support the following activities: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before="200" w:line="240" w:lineRule="auto"/>
        <w:ind w:left="217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monitoring and reporting on food insecurity in conflict-affected areas,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before="200" w:line="240" w:lineRule="auto"/>
        <w:ind w:left="217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facilitating the rapid delivery of humanitarian food assistance,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pacing w:before="200" w:line="240" w:lineRule="auto"/>
        <w:ind w:left="217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providing guidance on agricultural techniques related to food production for local recovery, or establishing foundations to improve food access through the development of domestic markets and distribution infrastructure,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spacing w:before="200" w:line="240" w:lineRule="auto"/>
        <w:ind w:left="217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supporting the rehabilitation and development of infrastructure damaged by conflict;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all Member States with financial capacity to increase financial support to United Nations agencies such as WFP and FAO;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Requests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WFP to provide financial support for the protection of internally displaced persons and refugees;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Urges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WFP to establish humanitarian corridors to deliver food to civilians;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Emphasizes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that the use of force against humanitarian corridors is not permitted;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444746"/>
          <w:rtl w:val="0"/>
        </w:rPr>
        <w:t xml:space="preserve">Reaffirms that the use of hunger as a weapon violate the principle of fundamental human rights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Stresses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member states that the act of destruction and sanctions against facilities and agricultural regions deeply involved in domestic and international trade violate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4746"/>
          <w:rtl w:val="0"/>
        </w:rPr>
        <w:t xml:space="preserve">human rights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WFP to support food-exporting countries in enhancing their capacity to anticipate international food security risks and consider appropriate response measures;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Member States to promote the diversification of food import sources and supply routes during peacetime and to strengthen the resilience of food supply chains through regional and international cooperation;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240" w:before="240" w:line="240" w:lineRule="auto"/>
        <w:ind w:left="129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to strengthen regional and international cooperation to improve the stability of global food supply chains, including through information-sharing, early-warning mechanisms, and coordinated responses to supply disruptions;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WTO to voluntary utilization and development of regional food logistics hubs, including ports, airports, storage facilities, and distribution centers, particularly to support island, archipelagic, and import-dependent countries;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240" w:before="240" w:line="240" w:lineRule="auto"/>
        <w:ind w:left="129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with established logistical capacity to voluntarily support neighboring and import-dependent countries by serving as regional transit and coordination hubs for food supplies and humanitarian assistance;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240" w:line="240" w:lineRule="auto"/>
        <w:ind w:left="129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on a voluntary and non-binding basis, to maintain minimum levels of food transit across borders and through key trade routes during periods of armed conflict or border closures, in accordance with international law;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240" w:before="240" w:line="240" w:lineRule="auto"/>
        <w:ind w:left="129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to have a comprehensive approach integrating immediate humanitarian assistance with agricultural recovery and long-term food system reconstruction;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240" w:before="240" w:line="240" w:lineRule="auto"/>
        <w:ind w:left="1290" w:hanging="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Encourages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IFAD to voluntary investment in agricultural technologies, including water-efficient farming methods, vertical farming, predictive technologies, and agricultural research, as well as the sharing of best practices and data through international cooperation mechanisms;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Invites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to assess and identify appropriate crop types and cultivation methods, according to national circumstances, and to share relevant information through international and regional frameworks;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Calls upon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States, in cooperation with WFP, to establish mechanisms ensuring that trade-critical ports, airports, and hubs remain open and secure during armed conflict exclusively for the transit of essential food supplies and fertilizers, including the digital recording of cargos within WFP-coordinated systems to ensure transparency and non-militarization;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Recommends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to remove barriers that impede humanitarian trade and relief operations, including through: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reviewing unilateral measures that unintentionally restrict the flow of aid,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strengthening and operationalizing humanitarian exemptions in all imposing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regimes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through clear, time-bound licensing and streamlined customs procedures,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3"/>
        </w:numPr>
        <w:spacing w:after="240" w:before="240" w:line="240" w:lineRule="auto"/>
        <w:ind w:left="173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encouraging financial institutions, insurers, and transport operators to implement due diligence that enables legitimate humanitarian transactions and reduces over-compliance;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spacing w:after="0" w:afterAutospacing="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Recommends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strengthening predictable and equitable financing for WFP and other relevant humanitarian actors by:</w:t>
        <w:br w:type="textWrapping"/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replacing current voluntary contribution with a minimum contribution framework based on capacity to pay,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establishing a contingency reserve for rapid response to conflict-driven supply shocks and sudden funding shortfalls,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promoting multi-year pledges and periodic replenishment conferences for major emergency operations,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empowering the World Food Programme to independently determine the allocation and use of its contributions;</w:t>
        <w:br w:type="textWrapping"/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Recommends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the Security Council, acting under Article 29 of the Charter of the United Nations and in line with Security Council resolution 2417 (2018), to establish a subsidiary organ mandated to: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collect and assess information regarding the obstruction or denial of humanitarian access, including attacks on humanitarian personnel, routes, and objects indispensable to civilian survival,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report regularly to the Security Council and, where appropriate, to the General Assembly on compliance with international humanitarian law related to conflict-induced food insecurity,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recommend appropriate measures, consistent with existing Security Council practice, to ensure compliance and accountability;</w:t>
        <w:br w:type="textWrapping"/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3"/>
        </w:numPr>
        <w:spacing w:after="240" w:before="0" w:beforeAutospacing="0" w:line="240" w:lineRule="auto"/>
        <w:ind w:left="1290" w:hanging="44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Requests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all member states to set priorities to people who are in need of humanitarian aid in order such as children, pregnant women, and immobilized or disabled individuals,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3"/>
        </w:numPr>
        <w:spacing w:after="240" w:before="240" w:line="240" w:lineRule="auto"/>
        <w:ind w:left="1290" w:hanging="4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Recommends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Member states to remain actively seized of the matter.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290" w:hanging="440"/>
      </w:pPr>
      <w:rPr>
        <w:u w:val="none"/>
      </w:rPr>
    </w:lvl>
    <w:lvl w:ilvl="1">
      <w:start w:val="1"/>
      <w:numFmt w:val="lowerLetter"/>
      <w:lvlText w:val="%2."/>
      <w:lvlJc w:val="left"/>
      <w:pPr>
        <w:ind w:left="1730" w:hanging="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70" w:hanging="44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440"/>
      </w:pPr>
      <w:rPr>
        <w:u w:val="none"/>
      </w:rPr>
    </w:lvl>
    <w:lvl w:ilvl="4">
      <w:start w:val="1"/>
      <w:numFmt w:val="lowerLetter"/>
      <w:lvlText w:val="%5."/>
      <w:lvlJc w:val="left"/>
      <w:pPr>
        <w:ind w:left="3050" w:hanging="440"/>
      </w:pPr>
      <w:rPr>
        <w:u w:val="none"/>
      </w:rPr>
    </w:lvl>
    <w:lvl w:ilvl="5">
      <w:start w:val="1"/>
      <w:numFmt w:val="lowerRoman"/>
      <w:lvlText w:val="%6."/>
      <w:lvlJc w:val="right"/>
      <w:pPr>
        <w:ind w:left="3490" w:hanging="440"/>
      </w:pPr>
      <w:rPr>
        <w:u w:val="none"/>
      </w:rPr>
    </w:lvl>
    <w:lvl w:ilvl="6">
      <w:start w:val="1"/>
      <w:numFmt w:val="decimal"/>
      <w:lvlText w:val="%7."/>
      <w:lvlJc w:val="left"/>
      <w:pPr>
        <w:ind w:left="3930" w:hanging="440"/>
      </w:pPr>
      <w:rPr>
        <w:u w:val="none"/>
      </w:rPr>
    </w:lvl>
    <w:lvl w:ilvl="7">
      <w:start w:val="1"/>
      <w:numFmt w:val="lowerLetter"/>
      <w:lvlText w:val="%8."/>
      <w:lvlJc w:val="left"/>
      <w:pPr>
        <w:ind w:left="4370" w:hanging="440"/>
      </w:pPr>
      <w:rPr>
        <w:u w:val="none"/>
      </w:rPr>
    </w:lvl>
    <w:lvl w:ilvl="8">
      <w:start w:val="1"/>
      <w:numFmt w:val="lowerRoman"/>
      <w:lvlText w:val="%9."/>
      <w:lvlJc w:val="right"/>
      <w:pPr>
        <w:ind w:left="4810" w:hanging="4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