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tbl>
      <w:tblPr>
        <w:tblStyle w:val="Table1"/>
        <w:tblW w:w="9746.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34"/>
        <w:gridCol w:w="6164"/>
        <w:gridCol w:w="2448"/>
        <w:tblGridChange w:id="0">
          <w:tblGrid>
            <w:gridCol w:w="1134"/>
            <w:gridCol w:w="6164"/>
            <w:gridCol w:w="2448"/>
          </w:tblGrid>
        </w:tblGridChange>
      </w:tblGrid>
      <w:tr>
        <w:trPr>
          <w:cantSplit w:val="0"/>
          <w:trHeight w:val="405" w:hRule="atLeast"/>
          <w:tblHeader w:val="0"/>
        </w:trPr>
        <w:tc>
          <w:tcPr>
            <w:gridSpan w:val="2"/>
            <w:tcBorders>
              <w:bottom w:color="000000" w:space="0" w:sz="12" w:val="single"/>
            </w:tcBorders>
          </w:tcPr>
          <w:p w:rsidR="00000000" w:rsidDel="00000000" w:rsidP="00000000" w:rsidRDefault="00000000" w:rsidRPr="00000000" w14:paraId="00000002">
            <w:pPr>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Japan Educational International Model United Nations</w:t>
            </w:r>
          </w:p>
        </w:tc>
        <w:tc>
          <w:tcPr>
            <w:tcBorders>
              <w:bottom w:color="000000" w:space="0" w:sz="12" w:val="single"/>
            </w:tcBorders>
            <w:vAlign w:val="center"/>
          </w:tcPr>
          <w:p w:rsidR="00000000" w:rsidDel="00000000" w:rsidP="00000000" w:rsidRDefault="00000000" w:rsidRPr="00000000" w14:paraId="00000004">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MA</w:t>
            </w:r>
            <w:r w:rsidDel="00000000" w:rsidR="00000000" w:rsidRPr="00000000">
              <w:rPr>
                <w:rFonts w:ascii="Times New Roman" w:cs="Times New Roman" w:eastAsia="Times New Roman" w:hAnsi="Times New Roman"/>
                <w:rtl w:val="0"/>
              </w:rPr>
              <w:t xml:space="preserve">/80/</w:t>
            </w:r>
            <w:r w:rsidDel="00000000" w:rsidR="00000000" w:rsidRPr="00000000">
              <w:rPr>
                <w:rFonts w:ascii="Times New Roman" w:cs="Times New Roman" w:eastAsia="Times New Roman" w:hAnsi="Times New Roman"/>
                <w:b w:val="1"/>
                <w:bCs w:val="1"/>
                <w:color w:val="ff0000"/>
                <w:rtl w:val="0"/>
              </w:rPr>
              <w:t xml:space="preserve">WP</w:t>
            </w:r>
            <w:r w:rsidDel="00000000" w:rsidR="00000000" w:rsidRPr="00000000">
              <w:rPr>
                <w:rFonts w:ascii="Times New Roman" w:cs="Times New Roman" w:eastAsia="Times New Roman" w:hAnsi="Times New Roman"/>
                <w:rtl w:val="0"/>
              </w:rPr>
              <w:t xml:space="preserve">.xx</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tl w:val="0"/>
              </w:rPr>
            </w:r>
          </w:p>
        </w:tc>
      </w:tr>
      <w:tr>
        <w:trPr>
          <w:cantSplit w:val="0"/>
          <w:trHeight w:val="386" w:hRule="atLeast"/>
          <w:tblHeader w:val="0"/>
        </w:trPr>
        <w:tc>
          <w:tcPr>
            <w:tcBorders>
              <w:top w:color="000000" w:space="0" w:sz="12" w:val="single"/>
            </w:tcBorders>
          </w:tcPr>
          <w:p w:rsidR="00000000" w:rsidDel="00000000" w:rsidP="00000000" w:rsidRDefault="00000000" w:rsidRPr="00000000" w14:paraId="00000005">
            <w:pPr>
              <w:rPr>
                <w:rFonts w:ascii="Times New Roman" w:cs="Times New Roman" w:eastAsia="Times New Roman" w:hAnsi="Times New Roman"/>
                <w:sz w:val="28"/>
                <w:szCs w:val="28"/>
              </w:rPr>
            </w:pPr>
            <w:r w:rsidDel="00000000" w:rsidR="00000000" w:rsidRPr="00000000">
              <w:rPr>
                <w:rtl w:val="0"/>
              </w:rPr>
            </w:r>
          </w:p>
        </w:tc>
        <w:tc>
          <w:tcPr>
            <w:vMerge w:val="restart"/>
            <w:tcBorders>
              <w:top w:color="000000" w:space="0" w:sz="12" w:val="single"/>
            </w:tcBorders>
            <w:vAlign w:val="center"/>
          </w:tcPr>
          <w:p w:rsidR="00000000" w:rsidDel="00000000" w:rsidP="00000000" w:rsidRDefault="00000000" w:rsidRPr="00000000" w14:paraId="0000000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United Nations</w:t>
            </w:r>
          </w:p>
          <w:p w:rsidR="00000000" w:rsidDel="00000000" w:rsidP="00000000" w:rsidRDefault="00000000" w:rsidRPr="00000000" w14:paraId="00000007">
            <w:pPr>
              <w:rPr>
                <w:rFonts w:ascii="Times New Roman" w:cs="Times New Roman" w:eastAsia="Times New Roman" w:hAnsi="Times New Roman"/>
              </w:rPr>
            </w:pPr>
            <w:r w:rsidDel="00000000" w:rsidR="00000000" w:rsidRPr="00000000">
              <w:rPr>
                <w:rFonts w:ascii="Times New Roman" w:cs="Times New Roman" w:eastAsia="Times New Roman" w:hAnsi="Times New Roman"/>
                <w:sz w:val="28"/>
                <w:szCs w:val="28"/>
                <w:rtl w:val="0"/>
              </w:rPr>
              <w:t xml:space="preserve">General Assembly</w:t>
            </w:r>
            <w:r w:rsidDel="00000000" w:rsidR="00000000" w:rsidRPr="00000000">
              <w:rPr>
                <w:rtl w:val="0"/>
              </w:rPr>
            </w:r>
          </w:p>
        </w:tc>
        <w:tc>
          <w:tcPr>
            <w:tcBorders>
              <w:top w:color="000000" w:space="0" w:sz="12" w:val="single"/>
            </w:tcBorders>
            <w:vAlign w:val="center"/>
          </w:tcPr>
          <w:p w:rsidR="00000000" w:rsidDel="00000000" w:rsidP="00000000" w:rsidRDefault="00000000" w:rsidRPr="00000000" w14:paraId="00000008">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Distr.:General</w:t>
            </w:r>
          </w:p>
        </w:tc>
      </w:tr>
      <w:tr>
        <w:trPr>
          <w:cantSplit w:val="0"/>
          <w:trHeight w:val="153" w:hRule="atLeast"/>
          <w:tblHeader w:val="0"/>
        </w:trPr>
        <w:tc>
          <w:tcPr/>
          <w:p w:rsidR="00000000" w:rsidDel="00000000" w:rsidP="00000000" w:rsidRDefault="00000000" w:rsidRPr="00000000" w14:paraId="00000009">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-86328</wp:posOffset>
                  </wp:positionH>
                  <wp:positionV relativeFrom="paragraph">
                    <wp:posOffset>-239388</wp:posOffset>
                  </wp:positionV>
                  <wp:extent cx="734886" cy="691085"/>
                  <wp:effectExtent b="0" l="0" r="0" t="0"/>
                  <wp:wrapNone/>
                  <wp:docPr id="118652205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734886" cy="691085"/>
                          </a:xfrm>
                          <a:prstGeom prst="rect"/>
                          <a:ln/>
                        </pic:spPr>
                      </pic:pic>
                    </a:graphicData>
                  </a:graphic>
                </wp:anchor>
              </w:drawing>
            </w:r>
          </w:p>
        </w:tc>
        <w:tc>
          <w:tcPr>
            <w:vMerge w:val="continue"/>
            <w:tcBorders>
              <w:top w:color="000000" w:space="0" w:sz="12" w:val="single"/>
            </w:tcBorders>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Align w:val="center"/>
          </w:tcPr>
          <w:p w:rsidR="00000000" w:rsidDel="00000000" w:rsidP="00000000" w:rsidRDefault="00000000" w:rsidRPr="00000000" w14:paraId="0000000B">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 January, 2024</w:t>
            </w:r>
          </w:p>
        </w:tc>
      </w:tr>
      <w:tr>
        <w:trPr>
          <w:cantSplit w:val="0"/>
          <w:trHeight w:val="720" w:hRule="atLeast"/>
          <w:tblHeader w:val="0"/>
        </w:trPr>
        <w:tc>
          <w:tcPr>
            <w:tcBorders>
              <w:bottom w:color="000000" w:space="0" w:sz="12" w:val="single"/>
            </w:tcBorders>
          </w:tcPr>
          <w:p w:rsidR="00000000" w:rsidDel="00000000" w:rsidP="00000000" w:rsidRDefault="00000000" w:rsidRPr="00000000" w14:paraId="0000000C">
            <w:pPr>
              <w:rPr>
                <w:rFonts w:ascii="Times New Roman" w:cs="Times New Roman" w:eastAsia="Times New Roman" w:hAnsi="Times New Roman"/>
              </w:rPr>
            </w:pPr>
            <w:r w:rsidDel="00000000" w:rsidR="00000000" w:rsidRPr="00000000">
              <w:rPr>
                <w:rtl w:val="0"/>
              </w:rPr>
            </w:r>
          </w:p>
        </w:tc>
        <w:tc>
          <w:tcPr>
            <w:vMerge w:val="continue"/>
            <w:tcBorders>
              <w:top w:color="000000" w:space="0" w:sz="12"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tcBorders>
              <w:bottom w:color="000000" w:space="0" w:sz="12" w:val="single"/>
            </w:tcBorders>
            <w:vAlign w:val="center"/>
          </w:tcPr>
          <w:p w:rsidR="00000000" w:rsidDel="00000000" w:rsidP="00000000" w:rsidRDefault="00000000" w:rsidRPr="00000000" w14:paraId="0000000E">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Original: English</w:t>
            </w:r>
          </w:p>
        </w:tc>
      </w:tr>
    </w:tbl>
    <w:p w:rsidR="00000000" w:rsidDel="00000000" w:rsidP="00000000" w:rsidRDefault="00000000" w:rsidRPr="00000000" w14:paraId="0000000F">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br w:type="textWrapping"/>
        <w:t xml:space="preserve">Eightieth Session</w:t>
      </w:r>
    </w:p>
    <w:p w:rsidR="00000000" w:rsidDel="00000000" w:rsidP="00000000" w:rsidRDefault="00000000" w:rsidRPr="00000000" w14:paraId="00000010">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Agenda item XX</w:t>
        <w:br w:type="textWrapping"/>
      </w:r>
      <w:r w:rsidDel="00000000" w:rsidR="00000000" w:rsidRPr="00000000">
        <w:rPr>
          <w:rFonts w:ascii="Times New Roman" w:cs="Times New Roman" w:eastAsia="Times New Roman" w:hAnsi="Times New Roman"/>
          <w:b w:val="1"/>
          <w:bCs w:val="1"/>
          <w:rtl w:val="0"/>
        </w:rPr>
        <w:t xml:space="preserve">General Measures for Food Security Issues Caused by Conflict</w:t>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rtl w:val="0"/>
        </w:rPr>
        <w:t xml:space="preserve">Sponsors: </w:t>
      </w:r>
      <w:r w:rsidDel="00000000" w:rsidR="00000000" w:rsidRPr="00000000">
        <w:rPr>
          <w:rFonts w:ascii="Times New Roman" w:cs="Times New Roman" w:eastAsia="Times New Roman" w:hAnsi="Times New Roman"/>
          <w:sz w:val="22"/>
          <w:szCs w:val="22"/>
          <w:rtl w:val="0"/>
        </w:rPr>
        <w:t xml:space="preserve">Australia, Azerbaijan, Brazil, Canada, Chile, France, Germany, Greece, Netherlands, Norway, Poland, , Spain, Sweden, United Kingdom, United States of America, </w:t>
      </w:r>
    </w:p>
    <w:p w:rsidR="00000000" w:rsidDel="00000000" w:rsidP="00000000" w:rsidRDefault="00000000" w:rsidRPr="00000000" w14:paraId="00000013">
      <w:pPr>
        <w:spacing w:after="240" w:before="240" w:lineRule="auto"/>
        <w:rPr>
          <w:rFonts w:ascii="Times New Roman" w:cs="Times New Roman" w:eastAsia="Times New Roman" w:hAnsi="Times New Roman"/>
          <w:i w:val="1"/>
          <w:iCs w:val="1"/>
        </w:rPr>
      </w:pPr>
      <w:r w:rsidDel="00000000" w:rsidR="00000000" w:rsidRPr="00000000">
        <w:rPr>
          <w:rFonts w:ascii="Times New Roman" w:cs="Times New Roman" w:eastAsia="Times New Roman" w:hAnsi="Times New Roman"/>
          <w:sz w:val="22"/>
          <w:szCs w:val="22"/>
          <w:rtl w:val="0"/>
        </w:rPr>
        <w:t xml:space="preserve"> </w:t>
      </w:r>
      <w:r w:rsidDel="00000000" w:rsidR="00000000" w:rsidRPr="00000000">
        <w:rPr>
          <w:rFonts w:ascii="Times New Roman" w:cs="Times New Roman" w:eastAsia="Times New Roman" w:hAnsi="Times New Roman"/>
          <w:i w:val="1"/>
          <w:iCs w:val="1"/>
          <w:sz w:val="20"/>
          <w:szCs w:val="20"/>
          <w:rtl w:val="0"/>
        </w:rPr>
        <w:t xml:space="preserve">Recalling</w:t>
      </w:r>
      <w:r w:rsidDel="00000000" w:rsidR="00000000" w:rsidRPr="00000000">
        <w:rPr>
          <w:rFonts w:ascii="Times New Roman" w:cs="Times New Roman" w:eastAsia="Times New Roman" w:hAnsi="Times New Roman"/>
          <w:sz w:val="20"/>
          <w:szCs w:val="20"/>
          <w:rtl w:val="0"/>
        </w:rPr>
        <w:t xml:space="preserve"> the International Humanitarian Law, </w:t>
      </w:r>
      <w:r w:rsidDel="00000000" w:rsidR="00000000" w:rsidRPr="00000000">
        <w:rPr>
          <w:rtl w:val="0"/>
        </w:rPr>
      </w:r>
    </w:p>
    <w:p w:rsidR="00000000" w:rsidDel="00000000" w:rsidP="00000000" w:rsidRDefault="00000000" w:rsidRPr="00000000" w14:paraId="00000014">
      <w:pPr>
        <w:widowControl w:val="1"/>
        <w:jc w:val="left"/>
        <w:rPr>
          <w:rFonts w:ascii="Times New Roman" w:cs="Times New Roman" w:eastAsia="Times New Roman" w:hAnsi="Times New Roman"/>
          <w:color w:val="262626"/>
          <w:sz w:val="20"/>
          <w:szCs w:val="20"/>
        </w:rPr>
      </w:pPr>
      <w:r w:rsidDel="00000000" w:rsidR="00000000" w:rsidRPr="00000000">
        <w:rPr>
          <w:rtl w:val="0"/>
        </w:rPr>
      </w:r>
    </w:p>
    <w:p w:rsidR="00000000" w:rsidDel="00000000" w:rsidP="00000000" w:rsidRDefault="00000000" w:rsidRPr="00000000" w14:paraId="00000015">
      <w:pPr>
        <w:widowControl w:val="1"/>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exposure to conflict may directly shape food security, but also interact with other fluctuations, such as those in prices, governance, and climatic conditions,</w:t>
      </w:r>
    </w:p>
    <w:p w:rsidR="00000000" w:rsidDel="00000000" w:rsidP="00000000" w:rsidRDefault="00000000" w:rsidRPr="00000000" w14:paraId="00000016">
      <w:pPr>
        <w:widowControl w:val="1"/>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7">
      <w:pPr>
        <w:widowControl w:val="1"/>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Believing</w:t>
      </w:r>
      <w:r w:rsidDel="00000000" w:rsidR="00000000" w:rsidRPr="00000000">
        <w:rPr>
          <w:rFonts w:ascii="Times New Roman" w:cs="Times New Roman" w:eastAsia="Times New Roman" w:hAnsi="Times New Roman"/>
          <w:sz w:val="20"/>
          <w:szCs w:val="20"/>
          <w:rtl w:val="0"/>
        </w:rPr>
        <w:t xml:space="preserve"> a comprehensive assessment of the climate surrounding humanitarian corridors would greatly aid in ensuring the long term security of the humanitarian corridor,</w:t>
      </w:r>
    </w:p>
    <w:p w:rsidR="00000000" w:rsidDel="00000000" w:rsidP="00000000" w:rsidRDefault="00000000" w:rsidRPr="00000000" w14:paraId="00000018">
      <w:pPr>
        <w:widowControl w:val="1"/>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9">
      <w:pPr>
        <w:widowControl w:val="1"/>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w:t>
      </w:r>
      <w:r w:rsidDel="00000000" w:rsidR="00000000" w:rsidRPr="00000000">
        <w:rPr>
          <w:rFonts w:ascii="Times New Roman" w:cs="Times New Roman" w:eastAsia="Times New Roman" w:hAnsi="Times New Roman"/>
          <w:sz w:val="20"/>
          <w:szCs w:val="20"/>
          <w:rtl w:val="0"/>
        </w:rPr>
        <w:t xml:space="preserve"> that to create an effective humanitarian corridor, there needs to be clear knowledge of the current situation of the region in which the humanitarian corridor is going to be created,  </w:t>
      </w:r>
    </w:p>
    <w:p w:rsidR="00000000" w:rsidDel="00000000" w:rsidP="00000000" w:rsidRDefault="00000000" w:rsidRPr="00000000" w14:paraId="0000001A">
      <w:pPr>
        <w:widowControl w:val="1"/>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B">
      <w:pPr>
        <w:widowControl w:val="1"/>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Appreciating</w:t>
      </w:r>
      <w:r w:rsidDel="00000000" w:rsidR="00000000" w:rsidRPr="00000000">
        <w:rPr>
          <w:rFonts w:ascii="Times New Roman" w:cs="Times New Roman" w:eastAsia="Times New Roman" w:hAnsi="Times New Roman"/>
          <w:sz w:val="20"/>
          <w:szCs w:val="20"/>
          <w:rtl w:val="0"/>
        </w:rPr>
        <w:t xml:space="preserve"> the World Food Program (WFP) and all of the efforts it has made to effectively create a more food-secure world,</w:t>
      </w:r>
    </w:p>
    <w:p w:rsidR="00000000" w:rsidDel="00000000" w:rsidP="00000000" w:rsidRDefault="00000000" w:rsidRPr="00000000" w14:paraId="0000001C">
      <w:pPr>
        <w:widowControl w:val="1"/>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D">
      <w:pPr>
        <w:widowControl w:val="1"/>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Recognizing </w:t>
      </w:r>
      <w:r w:rsidDel="00000000" w:rsidR="00000000" w:rsidRPr="00000000">
        <w:rPr>
          <w:rFonts w:ascii="Times New Roman" w:cs="Times New Roman" w:eastAsia="Times New Roman" w:hAnsi="Times New Roman"/>
          <w:sz w:val="20"/>
          <w:szCs w:val="20"/>
          <w:rtl w:val="0"/>
        </w:rPr>
        <w:t xml:space="preserve">the effectiveness of humanitarian corridors as urgent aid, and also their room for improvement,</w:t>
      </w:r>
    </w:p>
    <w:p w:rsidR="00000000" w:rsidDel="00000000" w:rsidP="00000000" w:rsidRDefault="00000000" w:rsidRPr="00000000" w14:paraId="0000001E">
      <w:pPr>
        <w:widowControl w:val="1"/>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1F">
      <w:pPr>
        <w:widowControl w:val="1"/>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Recognizing the importance of recognizing respective Member States´ sovereignty when installing humanitarian corridors,</w:t>
      </w:r>
    </w:p>
    <w:p w:rsidR="00000000" w:rsidDel="00000000" w:rsidP="00000000" w:rsidRDefault="00000000" w:rsidRPr="00000000" w14:paraId="00000020">
      <w:pPr>
        <w:widowControl w:val="1"/>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1">
      <w:pPr>
        <w:widowControl w:val="1"/>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widowControl w:val="1"/>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iCs w:val="1"/>
          <w:sz w:val="20"/>
          <w:szCs w:val="20"/>
          <w:rtl w:val="0"/>
        </w:rPr>
        <w:t xml:space="preserve">Stresses</w:t>
      </w:r>
      <w:r w:rsidDel="00000000" w:rsidR="00000000" w:rsidRPr="00000000">
        <w:rPr>
          <w:rFonts w:ascii="Times New Roman" w:cs="Times New Roman" w:eastAsia="Times New Roman" w:hAnsi="Times New Roman"/>
          <w:sz w:val="20"/>
          <w:szCs w:val="20"/>
          <w:rtl w:val="0"/>
        </w:rPr>
        <w:t xml:space="preserve"> that humanitarian assessments and needs monitoring in conflict-stricken areas are protected activities under IHL, advocating for safe access guarantees for UN agencies and partners, creating a political and legal pressure to allow for assessments,</w:t>
      </w:r>
    </w:p>
    <w:p w:rsidR="00000000" w:rsidDel="00000000" w:rsidP="00000000" w:rsidRDefault="00000000" w:rsidRPr="00000000" w14:paraId="00000023">
      <w:pPr>
        <w:widowControl w:val="1"/>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4">
      <w:pPr>
        <w:widowControl w:val="1"/>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Requests Member States to establish humanitarian corridors when there is a dire situation, so to protect the food security of those in conflict-stricken zones, mainly addressing access to food and therefore preventing famine, leading to the protection of food systems and stability.</w:t>
      </w:r>
    </w:p>
    <w:p w:rsidR="00000000" w:rsidDel="00000000" w:rsidP="00000000" w:rsidRDefault="00000000" w:rsidRPr="00000000" w14:paraId="00000025">
      <w:pPr>
        <w:widowControl w:val="1"/>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6">
      <w:pPr>
        <w:widowControl w:val="1"/>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7">
      <w:pPr>
        <w:widowControl w:val="1"/>
        <w:numPr>
          <w:ilvl w:val="0"/>
          <w:numId w:val="1"/>
        </w:numPr>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Urges the WFP to utilize the established monitoring systems in humanitarian corridors to identify operational obstacles as well as to ensure the humanitarian corridor is not being used for malicious intent through methods such as politicization and manipulation.</w:t>
      </w:r>
    </w:p>
    <w:p w:rsidR="00000000" w:rsidDel="00000000" w:rsidP="00000000" w:rsidRDefault="00000000" w:rsidRPr="00000000" w14:paraId="00000028">
      <w:pPr>
        <w:widowControl w:val="1"/>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9">
      <w:pPr>
        <w:widowControl w:val="1"/>
        <w:numPr>
          <w:ilvl w:val="0"/>
          <w:numId w:val="1"/>
        </w:numPr>
        <w:pBdr>
          <w:top w:color="auto" w:space="0" w:sz="0" w:val="none"/>
          <w:bottom w:color="auto" w:space="0" w:sz="0" w:val="none"/>
          <w:right w:color="auto" w:space="0" w:sz="0" w:val="none"/>
          <w:between w:color="auto" w:space="0" w:sz="0" w:val="none"/>
        </w:pBdr>
        <w:spacing w:after="0" w:afterAutospacing="0" w:before="320" w:lineRule="auto"/>
        <w:ind w:left="720" w:hanging="360"/>
        <w:jc w:val="lef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Stresses the crucial role of humanitarian assistance for those in war-stricken zones, including biut never restricted to those delivered through humanitarian corridors, and for the FAO to cooperate with the WFP on the situations of the participating humanitarian group, to ensure that the food aid will also have an emphasis on to ensure that the food aid will be nutritious, for the food security.</w:t>
      </w:r>
    </w:p>
    <w:p w:rsidR="00000000" w:rsidDel="00000000" w:rsidP="00000000" w:rsidRDefault="00000000" w:rsidRPr="00000000" w14:paraId="0000002A">
      <w:pPr>
        <w:widowControl w:val="1"/>
        <w:numPr>
          <w:ilvl w:val="0"/>
          <w:numId w:val="1"/>
        </w:numPr>
        <w:pBdr>
          <w:top w:color="auto" w:space="0" w:sz="0" w:val="none"/>
          <w:bottom w:color="auto" w:space="0" w:sz="0" w:val="none"/>
          <w:right w:color="auto" w:space="0" w:sz="0" w:val="none"/>
          <w:between w:color="auto" w:space="0" w:sz="0" w:val="none"/>
        </w:pBdr>
        <w:spacing w:after="780" w:before="0" w:beforeAutospacing="0" w:lineRule="auto"/>
        <w:ind w:left="720" w:hanging="360"/>
        <w:jc w:val="left"/>
        <w:rPr>
          <w:rFonts w:ascii="Times New Roman" w:cs="Times New Roman" w:eastAsia="Times New Roman" w:hAnsi="Times New Roman"/>
          <w:sz w:val="20"/>
          <w:szCs w:val="20"/>
          <w:u w:val="none"/>
        </w:rPr>
      </w:pPr>
      <w:r w:rsidDel="00000000" w:rsidR="00000000" w:rsidRPr="00000000">
        <w:rPr>
          <w:rFonts w:ascii="Times New Roman" w:cs="Times New Roman" w:eastAsia="Times New Roman" w:hAnsi="Times New Roman"/>
          <w:sz w:val="20"/>
          <w:szCs w:val="20"/>
          <w:rtl w:val="0"/>
        </w:rPr>
        <w:t xml:space="preserve">Emphasizes the importance of respecting sovereignty when establishing humanitarian corridors.</w:t>
      </w:r>
    </w:p>
    <w:p w:rsidR="00000000" w:rsidDel="00000000" w:rsidP="00000000" w:rsidRDefault="00000000" w:rsidRPr="00000000" w14:paraId="0000002B">
      <w:pPr>
        <w:widowControl w:val="1"/>
        <w:pBdr>
          <w:top w:color="auto" w:space="0" w:sz="0" w:val="none"/>
          <w:bottom w:color="auto" w:space="0" w:sz="0" w:val="none"/>
          <w:right w:color="auto" w:space="0" w:sz="0" w:val="none"/>
          <w:between w:color="auto" w:space="0" w:sz="0" w:val="none"/>
        </w:pBdr>
        <w:spacing w:after="780" w:before="320" w:lineRule="auto"/>
        <w:ind w:left="720" w:firstLine="0"/>
        <w:jc w:val="left"/>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2C">
      <w:pPr>
        <w:widowControl w:val="1"/>
        <w:spacing w:line="276" w:lineRule="auto"/>
        <w:jc w:val="left"/>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i w:val="1"/>
          <w:iCs w:val="1"/>
          <w:sz w:val="22"/>
          <w:szCs w:val="22"/>
        </w:rPr>
      </w:pPr>
      <w:r w:rsidDel="00000000" w:rsidR="00000000" w:rsidRPr="00000000">
        <w:rPr>
          <w:rtl w:val="0"/>
        </w:rPr>
      </w:r>
    </w:p>
    <w:sectPr>
      <w:headerReference r:id="rId8" w:type="default"/>
      <w:pgSz w:h="16838" w:w="11906" w:orient="portrait"/>
      <w:pgMar w:bottom="1440" w:top="1440" w:left="1080" w:right="1080" w:header="794"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游明朝"/>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1"/>
        <w:szCs w:val="21"/>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1"/>
        <w:szCs w:val="21"/>
        <w:u w:val="none"/>
        <w:shd w:fill="auto" w:val="clear"/>
        <w:vertAlign w:val="baseline"/>
        <w:rtl w:val="0"/>
      </w:rPr>
      <w:t xml:space="preserve">Conference (A or B)</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游明朝" w:cs="游明朝" w:eastAsia="游明朝" w:hAnsi="游明朝"/>
      <w:b w:val="1"/>
      <w:bCs w:val="1"/>
      <w:i w:val="0"/>
      <w:iCs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pPr>
    <w:rPr>
      <w:rFonts w:ascii="游明朝" w:cs="游明朝" w:eastAsia="游明朝" w:hAnsi="游明朝"/>
      <w:b w:val="1"/>
      <w:bCs w:val="1"/>
      <w:i w:val="0"/>
      <w:iCs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both"/>
    </w:pPr>
    <w:rPr>
      <w:rFonts w:ascii="游明朝" w:cs="游明朝" w:eastAsia="游明朝" w:hAnsi="游明朝"/>
      <w:b w:val="1"/>
      <w:bCs w:val="1"/>
      <w:i w:val="0"/>
      <w:iCs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both"/>
    </w:pPr>
    <w:rPr>
      <w:rFonts w:ascii="游明朝" w:cs="游明朝" w:eastAsia="游明朝" w:hAnsi="游明朝"/>
      <w:b w:val="1"/>
      <w:bCs w:val="1"/>
      <w:i w:val="0"/>
      <w:iCs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both"/>
    </w:pPr>
    <w:rPr>
      <w:rFonts w:ascii="游明朝" w:cs="游明朝" w:eastAsia="游明朝" w:hAnsi="游明朝"/>
      <w:b w:val="1"/>
      <w:bCs w:val="1"/>
      <w:i w:val="0"/>
      <w:iCs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both"/>
    </w:pPr>
    <w:rPr>
      <w:rFonts w:ascii="游明朝" w:cs="游明朝" w:eastAsia="游明朝" w:hAnsi="游明朝"/>
      <w:b w:val="1"/>
      <w:bCs w:val="1"/>
      <w:i w:val="0"/>
      <w:iCs w:val="0"/>
      <w:smallCaps w:val="0"/>
      <w:strike w:val="0"/>
      <w:color w:val="000000"/>
      <w:sz w:val="72"/>
      <w:szCs w:val="72"/>
      <w:u w:val="none"/>
      <w:shd w:fill="auto" w:val="clear"/>
      <w:vertAlign w:val="baseline"/>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29617A"/>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3429B"/>
    <w:pPr>
      <w:tabs>
        <w:tab w:val="center" w:pos="4252"/>
        <w:tab w:val="right" w:pos="8504"/>
      </w:tabs>
      <w:snapToGrid w:val="0"/>
    </w:pPr>
  </w:style>
  <w:style w:type="character" w:styleId="a5" w:customStyle="1">
    <w:name w:val="ヘッダー (文字)"/>
    <w:basedOn w:val="a0"/>
    <w:link w:val="a4"/>
    <w:uiPriority w:val="99"/>
    <w:rsid w:val="00D3429B"/>
  </w:style>
  <w:style w:type="paragraph" w:styleId="a6">
    <w:name w:val="footer"/>
    <w:basedOn w:val="a"/>
    <w:link w:val="a7"/>
    <w:uiPriority w:val="99"/>
    <w:unhideWhenUsed w:val="1"/>
    <w:rsid w:val="00D3429B"/>
    <w:pPr>
      <w:tabs>
        <w:tab w:val="center" w:pos="4252"/>
        <w:tab w:val="right" w:pos="8504"/>
      </w:tabs>
      <w:snapToGrid w:val="0"/>
    </w:pPr>
  </w:style>
  <w:style w:type="character" w:styleId="a7" w:customStyle="1">
    <w:name w:val="フッター (文字)"/>
    <w:basedOn w:val="a0"/>
    <w:link w:val="a6"/>
    <w:uiPriority w:val="99"/>
    <w:rsid w:val="00D3429B"/>
  </w:style>
  <w:style w:type="paragraph" w:styleId="a8">
    <w:name w:val="List Paragraph"/>
    <w:basedOn w:val="a"/>
    <w:uiPriority w:val="34"/>
    <w:qFormat w:val="1"/>
    <w:rsid w:val="00C81283"/>
    <w:pPr>
      <w:ind w:left="840" w:leftChars="400"/>
    </w:p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both"/>
    </w:pPr>
    <w:rPr>
      <w:rFonts w:ascii="Georgia" w:cs="Georgia" w:eastAsia="Georgia" w:hAnsi="Georgia"/>
      <w:b w:val="0"/>
      <w:bCs w:val="0"/>
      <w:i w:val="1"/>
      <w:iCs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vbbxGks1QSTmagIsV42gTH9Wvw==">CgMxLjA4AHIhMTdZWGNVeHVlSUY4U1d5enphLVhvTUhCX0RTc296c3BG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2023-12-30T05:48:00Z</dcterms:created>
  <dc:creator>持田　隼人</dc:creator>
</cp:coreProperties>
</file>