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z w:val="20"/>
          <w:szCs w:val="20"/>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widowControl w:val="0"/>
              <w:spacing w:line="240" w:lineRule="auto"/>
              <w:ind w:firstLine="72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MA/80/</w:t>
            </w:r>
            <w:r w:rsidDel="00000000" w:rsidR="00000000" w:rsidRPr="00000000">
              <w:rPr>
                <w:rFonts w:ascii="Times New Roman" w:cs="Times New Roman" w:eastAsia="Times New Roman" w:hAnsi="Times New Roman"/>
                <w:b w:val="1"/>
                <w:bCs w:val="1"/>
                <w:i w:val="1"/>
                <w:iCs w:val="1"/>
                <w:color w:val="ff0000"/>
                <w:sz w:val="20"/>
                <w:szCs w:val="20"/>
                <w:rtl w:val="0"/>
              </w:rPr>
              <w:t xml:space="preserve">WP</w:t>
            </w:r>
            <w:r w:rsidDel="00000000" w:rsidR="00000000" w:rsidRPr="00000000">
              <w:rPr>
                <w:rFonts w:ascii="Times New Roman" w:cs="Times New Roman" w:eastAsia="Times New Roman" w:hAnsi="Times New Roman"/>
                <w:i w:val="1"/>
                <w:iCs w:val="1"/>
                <w:sz w:val="20"/>
                <w:szCs w:val="20"/>
                <w:rtl w:val="0"/>
              </w:rPr>
              <w:t xml:space="preserve">.xx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United Nations</w:t>
            </w:r>
          </w:p>
          <w:p w:rsidR="00000000" w:rsidDel="00000000" w:rsidP="00000000" w:rsidRDefault="00000000" w:rsidRPr="00000000" w14:paraId="00000007">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General Assembly</w:t>
            </w:r>
          </w:p>
        </w:tc>
        <w:tc>
          <w:tcPr>
            <w:tcBorders>
              <w:top w:color="000000" w:space="0" w:sz="12" w:val="single"/>
            </w:tcBorders>
            <w:vAlign w:val="center"/>
          </w:tcPr>
          <w:p w:rsidR="00000000" w:rsidDel="00000000" w:rsidP="00000000" w:rsidRDefault="00000000" w:rsidRPr="00000000" w14:paraId="00000008">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Distr.:General</w:t>
            </w:r>
          </w:p>
        </w:tc>
      </w:tr>
      <w:tr>
        <w:trPr>
          <w:cantSplit w:val="0"/>
          <w:trHeight w:val="153" w:hRule="atLeast"/>
          <w:tblHeader w:val="0"/>
        </w:trPr>
        <w:tc>
          <w:tcPr/>
          <w:p w:rsidR="00000000" w:rsidDel="00000000" w:rsidP="00000000" w:rsidRDefault="00000000" w:rsidRPr="00000000" w14:paraId="00000009">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-238759</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widowControl w:val="0"/>
              <w:rPr>
                <w:rFonts w:ascii="Times New Roman" w:cs="Times New Roman" w:eastAsia="Times New Roman" w:hAnsi="Times New Roman"/>
                <w:i w:val="1"/>
                <w:iCs w:val="1"/>
                <w:sz w:val="20"/>
                <w:szCs w:val="20"/>
              </w:rPr>
            </w:pP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10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widowControl w:val="0"/>
              <w:rPr>
                <w:rFonts w:ascii="Times New Roman" w:cs="Times New Roman" w:eastAsia="Times New Roman" w:hAnsi="Times New Roman"/>
                <w:i w:val="1"/>
                <w:iCs w:val="1"/>
                <w:sz w:val="20"/>
                <w:szCs w:val="2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Original: English</w:t>
            </w:r>
          </w:p>
        </w:tc>
      </w:tr>
    </w:tbl>
    <w:p w:rsidR="00000000" w:rsidDel="00000000" w:rsidP="00000000" w:rsidRDefault="00000000" w:rsidRPr="00000000" w14:paraId="0000000F">
      <w:pPr>
        <w:widowControl w:val="0"/>
        <w:spacing w:line="240" w:lineRule="auto"/>
        <w:ind w:firstLine="72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t xml:space="preserve">Eightieth Session</w:t>
      </w:r>
    </w:p>
    <w:p w:rsidR="00000000" w:rsidDel="00000000" w:rsidP="00000000" w:rsidRDefault="00000000" w:rsidRPr="00000000" w14:paraId="00000010">
      <w:pPr>
        <w:widowControl w:val="0"/>
        <w:spacing w:line="240" w:lineRule="auto"/>
        <w:ind w:firstLine="72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Agenda item XX</w:t>
        <w:br w:type="textWrapping"/>
      </w:r>
      <w:r w:rsidDel="00000000" w:rsidR="00000000" w:rsidRPr="00000000">
        <w:rPr>
          <w:rFonts w:ascii="Times New Roman" w:cs="Times New Roman" w:eastAsia="Times New Roman" w:hAnsi="Times New Roman"/>
          <w:b w:val="1"/>
          <w:bCs w:val="1"/>
          <w:i w:val="1"/>
          <w:iCs w:val="1"/>
          <w:sz w:val="20"/>
          <w:szCs w:val="20"/>
          <w:rtl w:val="0"/>
        </w:rPr>
        <w:t xml:space="preserve">General Measures for Food Security Caused by Conflict</w:t>
      </w:r>
    </w:p>
    <w:p w:rsidR="00000000" w:rsidDel="00000000" w:rsidP="00000000" w:rsidRDefault="00000000" w:rsidRPr="00000000" w14:paraId="00000011">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2">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Sponsors: </w:t>
      </w:r>
      <w:r w:rsidDel="00000000" w:rsidR="00000000" w:rsidRPr="00000000">
        <w:rPr>
          <w:rFonts w:ascii="Times New Roman" w:cs="Times New Roman" w:eastAsia="Times New Roman" w:hAnsi="Times New Roman"/>
          <w:sz w:val="20"/>
          <w:szCs w:val="20"/>
          <w:rtl w:val="0"/>
        </w:rPr>
        <w:t xml:space="preserve">Afghanistan, Bosnia and Herzegovina, Chad, Iran, Iraq, Lebanon, Myanmar, Pakistan, the Philippines, Qatar, Saudi Arabia, Syria, Thailand, the Republic of Korea, the United Arab Emirates, Turkey, Vietnam</w:t>
      </w:r>
      <w:r w:rsidDel="00000000" w:rsidR="00000000" w:rsidRPr="00000000">
        <w:rPr>
          <w:rtl w:val="0"/>
        </w:rPr>
      </w:r>
    </w:p>
    <w:p w:rsidR="00000000" w:rsidDel="00000000" w:rsidP="00000000" w:rsidRDefault="00000000" w:rsidRPr="00000000" w14:paraId="00000013">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4">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5">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all relevant Security Council resolutions, including resolutions 1296 (2000), 1894 (2009), 2175 (2014), and 2286 (2016), and its Presidential Statement of 9 August 2017,</w:t>
      </w:r>
    </w:p>
    <w:p w:rsidR="00000000" w:rsidDel="00000000" w:rsidP="00000000" w:rsidRDefault="00000000" w:rsidRPr="00000000" w14:paraId="00000016">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Deeply concerned</w:t>
      </w:r>
      <w:r w:rsidDel="00000000" w:rsidR="00000000" w:rsidRPr="00000000">
        <w:rPr>
          <w:rFonts w:ascii="Times New Roman" w:cs="Times New Roman" w:eastAsia="Times New Roman" w:hAnsi="Times New Roman"/>
          <w:sz w:val="20"/>
          <w:szCs w:val="20"/>
          <w:rtl w:val="0"/>
        </w:rPr>
        <w:t xml:space="preserve"> about the level of global humanitarian needs and the threat of famine presently facing millions of people in armed conflicts, as well as about the number of undernourished people in the world which, after decades of decreasing, increased over the last two years, with the majority of food insecure people and seventy-five percent of all stunted children under the age of five living in countries affected by armed conflict, amounting to 74 million people facing crisis food insecurity or worse in situations of armed conflict,</w:t>
      </w:r>
    </w:p>
    <w:p w:rsidR="00000000" w:rsidDel="00000000" w:rsidP="00000000" w:rsidRDefault="00000000" w:rsidRPr="00000000" w14:paraId="00000017">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the devastating impact on civilians of ongoing armed conflict and related violence, and emphasising with deep concern that ongoing armed conflicts and violence have devastating humanitarian consequences, often hindering an effective humanitarian response, and are therefore a major cause of the current risk of famine,</w:t>
      </w:r>
    </w:p>
    <w:p w:rsidR="00000000" w:rsidDel="00000000" w:rsidP="00000000" w:rsidRDefault="00000000" w:rsidRPr="00000000" w14:paraId="00000018">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 concern</w:t>
      </w:r>
      <w:r w:rsidDel="00000000" w:rsidR="00000000" w:rsidRPr="00000000">
        <w:rPr>
          <w:rFonts w:ascii="Times New Roman" w:cs="Times New Roman" w:eastAsia="Times New Roman" w:hAnsi="Times New Roman"/>
          <w:sz w:val="20"/>
          <w:szCs w:val="20"/>
          <w:rtl w:val="0"/>
        </w:rPr>
        <w:t xml:space="preserve"> over the growing number of armed conflicts in different geographic areas all over the globe, and underlining the urgent need for redoubled efforts for their prevention and resolution, addressing where pertinent the regional dimensions of armed conflicts with specific emphasis on regional diplomacy and arrangements,</w:t>
      </w:r>
    </w:p>
    <w:p w:rsidR="00000000" w:rsidDel="00000000" w:rsidP="00000000" w:rsidRDefault="00000000" w:rsidRPr="00000000" w14:paraId="00000019">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Reiterating</w:t>
      </w:r>
      <w:r w:rsidDel="00000000" w:rsidR="00000000" w:rsidRPr="00000000">
        <w:rPr>
          <w:rFonts w:ascii="Times New Roman" w:cs="Times New Roman" w:eastAsia="Times New Roman" w:hAnsi="Times New Roman"/>
          <w:sz w:val="20"/>
          <w:szCs w:val="20"/>
          <w:rtl w:val="0"/>
        </w:rPr>
        <w:t xml:space="preserve"> its commitment to pursue all possible avenues to prevent and end armed conflicts, including through addressing their underlying root causes in an inclusive, integrated, and sustainable manner,</w:t>
      </w:r>
    </w:p>
    <w:p w:rsidR="00000000" w:rsidDel="00000000" w:rsidP="00000000" w:rsidRDefault="00000000" w:rsidRPr="00000000" w14:paraId="0000001A">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w:t>
      </w:r>
      <w:r w:rsidDel="00000000" w:rsidR="00000000" w:rsidRPr="00000000">
        <w:rPr>
          <w:rFonts w:ascii="Times New Roman" w:cs="Times New Roman" w:eastAsia="Times New Roman" w:hAnsi="Times New Roman"/>
          <w:sz w:val="20"/>
          <w:szCs w:val="20"/>
          <w:rtl w:val="0"/>
        </w:rPr>
        <w:t xml:space="preserve"> the need to break the vicious cycle between armed conflict and food insecurity,</w:t>
      </w:r>
    </w:p>
    <w:p w:rsidR="00000000" w:rsidDel="00000000" w:rsidP="00000000" w:rsidRDefault="00000000" w:rsidRPr="00000000" w14:paraId="0000001B">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Reiterating</w:t>
      </w:r>
      <w:r w:rsidDel="00000000" w:rsidR="00000000" w:rsidRPr="00000000">
        <w:rPr>
          <w:rFonts w:ascii="Times New Roman" w:cs="Times New Roman" w:eastAsia="Times New Roman" w:hAnsi="Times New Roman"/>
          <w:sz w:val="20"/>
          <w:szCs w:val="20"/>
          <w:rtl w:val="0"/>
        </w:rPr>
        <w:t xml:space="preserve"> its primary responsibility for the maintenance of international peace and security and, in this connection, its commitment to address conflict-induced food insecurity, including famine, in situations of armed conflict,</w:t>
      </w:r>
    </w:p>
    <w:p w:rsidR="00000000" w:rsidDel="00000000" w:rsidP="00000000" w:rsidRDefault="00000000" w:rsidRPr="00000000" w14:paraId="0000001C">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full respect for the sovereignty and territorial integrity of States in accordance with the Charter of the United Nations,</w:t>
      </w:r>
    </w:p>
    <w:p w:rsidR="00000000" w:rsidDel="00000000" w:rsidP="00000000" w:rsidRDefault="00000000" w:rsidRPr="00000000" w14:paraId="0000001D">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Recognising</w:t>
      </w:r>
      <w:r w:rsidDel="00000000" w:rsidR="00000000" w:rsidRPr="00000000">
        <w:rPr>
          <w:rFonts w:ascii="Times New Roman" w:cs="Times New Roman" w:eastAsia="Times New Roman" w:hAnsi="Times New Roman"/>
          <w:sz w:val="20"/>
          <w:szCs w:val="20"/>
          <w:rtl w:val="0"/>
        </w:rPr>
        <w:t xml:space="preserve"> that armed conflict impacts on food security can be direct, such as displacement from land, livestock grazing areas, and fishing grounds or destruction of food stocks and agricultural assets, or indirect, such as disruptions to food systems and markets, leading to increased food prices or decreased</w:t>
        <w:tab/>
        <w:t xml:space="preserve"> household purchasing power, or decreased access to supplies that are necessary for food preparation, including water and fuel,</w:t>
      </w:r>
    </w:p>
    <w:p w:rsidR="00000000" w:rsidDel="00000000" w:rsidP="00000000" w:rsidRDefault="00000000" w:rsidRPr="00000000" w14:paraId="0000001E">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with deep concern the serious humanitarian threat posed to civilians by landmines, explosive remnants of war, and improvised explosive devices in affected countries, which have serious and lasting social and economic consequences for the populations of such countries and their agricultural activities, as well as of personnel participating in law enforcement, humanitarian, peacekeeping, rehabilitation, and clearance programmes and operations,</w:t>
      </w:r>
    </w:p>
    <w:p w:rsidR="00000000" w:rsidDel="00000000" w:rsidP="00000000" w:rsidRDefault="00000000" w:rsidRPr="00000000" w14:paraId="0000001F">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the particular impact that armed conflict has on women, children, including refugees and internally displaced persons, and other civilians who may have specific vulnerabilities, including persons with disabilities and older persons, and stressing the protection and assistance needs of all affected civilian populations,</w:t>
      </w:r>
    </w:p>
    <w:p w:rsidR="00000000" w:rsidDel="00000000" w:rsidP="00000000" w:rsidRDefault="00000000" w:rsidRPr="00000000" w14:paraId="00000020">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important role of women in the prevention and resolution of conflicts and in peacebuilding, and stressing the importance of their equal participation and full involvement in all efforts for the maintenance and promotion of peace and security, and the need to increase their role in decision-making with regard to conflict prevention and resolution,</w:t>
      </w:r>
    </w:p>
    <w:p w:rsidR="00000000" w:rsidDel="00000000" w:rsidP="00000000" w:rsidRDefault="00000000" w:rsidRPr="00000000" w14:paraId="00000021">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Geneva Conventions of 1949 and their Additional Protocols of 1977, and the obligation of High Contracting Parties and parties to armed conflict to respect and ensure respect for international humanitarian law in all circumstances,</w:t>
      </w:r>
    </w:p>
    <w:p w:rsidR="00000000" w:rsidDel="00000000" w:rsidP="00000000" w:rsidRDefault="00000000" w:rsidRPr="00000000" w14:paraId="00000022">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Underlining</w:t>
      </w:r>
      <w:r w:rsidDel="00000000" w:rsidR="00000000" w:rsidRPr="00000000">
        <w:rPr>
          <w:rFonts w:ascii="Times New Roman" w:cs="Times New Roman" w:eastAsia="Times New Roman" w:hAnsi="Times New Roman"/>
          <w:sz w:val="20"/>
          <w:szCs w:val="20"/>
          <w:rtl w:val="0"/>
        </w:rPr>
        <w:t xml:space="preserve"> that using starvation of civilians as a method of warfare may constitute a war crime,</w:t>
      </w:r>
    </w:p>
    <w:p w:rsidR="00000000" w:rsidDel="00000000" w:rsidP="00000000" w:rsidRDefault="00000000" w:rsidRPr="00000000" w14:paraId="00000023">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responding effectively to humanitarian needs in armed conflict, including the threat of conflict-induced famine and food insecurity in situations of armed conflict, requires respect for international humanitarian law by all parties to conflict, underlining the parties’ obligations related to protecting civilians and civilian objects, meeting the basic needs of the civilian population within their territory or under their effective control, and allowing and facilitating the rapid and unimpeded passage of impartial humanitarian relief to all those in need,</w:t>
      </w:r>
    </w:p>
    <w:p w:rsidR="00000000" w:rsidDel="00000000" w:rsidP="00000000" w:rsidRDefault="00000000" w:rsidRPr="00000000" w14:paraId="00000024">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its intention to mandate United Nations peacekeeping and other relevant missions, where appropriate, to assist in creating conditions conducive to safe, timely, and unimpeded humanitarian assistance,</w:t>
      </w:r>
    </w:p>
    <w:p w:rsidR="00000000" w:rsidDel="00000000" w:rsidP="00000000" w:rsidRDefault="00000000" w:rsidRPr="00000000" w14:paraId="00000025">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Demanding</w:t>
      </w:r>
      <w:r w:rsidDel="00000000" w:rsidR="00000000" w:rsidRPr="00000000">
        <w:rPr>
          <w:rFonts w:ascii="Times New Roman" w:cs="Times New Roman" w:eastAsia="Times New Roman" w:hAnsi="Times New Roman"/>
          <w:sz w:val="20"/>
          <w:szCs w:val="20"/>
          <w:rtl w:val="0"/>
        </w:rPr>
        <w:t xml:space="preserve"> that all parties to armed conflicts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 to ensure the respect and protection of all medical personnel and humanitarian personnel exclusively engaged in medical duties, their means of transport and equipment, as well as hospitals and other medical facilities,</w:t>
      </w:r>
    </w:p>
    <w:p w:rsidR="00000000" w:rsidDel="00000000" w:rsidP="00000000" w:rsidRDefault="00000000" w:rsidRPr="00000000" w14:paraId="00000026">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obligation of all parties to an armed conflict to comply with international humanitarian law, in particular their obligations under the Geneva Conventions of 1949 and the obligations applicable to them under the Additional Protocols thereto of 1977, to ensure the respect and protection of all humanitarian personnel and United Nations and associated personnel, as well as with the rules and principles of international human rights law and refugee law,</w:t>
      </w:r>
    </w:p>
    <w:p w:rsidR="00000000" w:rsidDel="00000000" w:rsidP="00000000" w:rsidRDefault="00000000" w:rsidRPr="00000000" w14:paraId="00000027">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need for all parties to armed conflict to respect the humanitarian principles of humanity, neutrality, impartiality, and independence in the provision of humanitarian assistance, including medical assistance, and reaffirming also the need for all actors engaged in the provision of such assistance in situations of armed conflict to promote and fully adhere to these principles,</w:t>
      </w:r>
    </w:p>
    <w:p w:rsidR="00000000" w:rsidDel="00000000" w:rsidP="00000000" w:rsidRDefault="00000000" w:rsidRPr="00000000" w14:paraId="00000028">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the fight against impunity and to ensure accountability for genocide, crimes against humanity, war crimes, and other egregious crimes has been strengthened through the work on and prosecution of these crimes in the national and international criminal justice system, ad hoc and mixed tribunals, as well as specialized chambers in national tribunals,</w:t>
      </w:r>
    </w:p>
    <w:p w:rsidR="00000000" w:rsidDel="00000000" w:rsidP="00000000" w:rsidRDefault="00000000" w:rsidRPr="00000000" w14:paraId="00000029">
      <w:pPr>
        <w:widowControl w:val="0"/>
        <w:spacing w:after="240" w:before="240"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primary responsibility of States to protect the population throughout their whole territory,</w:t>
      </w: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numPr>
          <w:ilvl w:val="0"/>
          <w:numId w:val="1"/>
        </w:numPr>
        <w:spacing w:after="0" w:afterAutospacing="0" w:before="24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the international community to urgently support countries affected by the food security crisis through coordinated actions, including the provision of emergency food supplies, food programmes, financial support, and increased and diversified agricultural production, and to promote a universal, rules-based, open, non-discriminatory and equitable multilateral trading system under the World Trade Organization.</w:t>
      </w:r>
    </w:p>
    <w:p w:rsidR="00000000" w:rsidDel="00000000" w:rsidP="00000000" w:rsidRDefault="00000000" w:rsidRPr="00000000" w14:paraId="0000002B">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on the international community to invest in post-conflict agricultural recovery and livelihood restoration, including the provision of seeds, tools, livestock, training, and microfinance to rebuild farmers’ capacities and diversify rural economies.</w:t>
      </w:r>
    </w:p>
    <w:p w:rsidR="00000000" w:rsidDel="00000000" w:rsidP="00000000" w:rsidRDefault="00000000" w:rsidRPr="00000000" w14:paraId="0000002C">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increased foreign investment and assistance in rehabilitating and strengthening food-related infrastructure damaged by conflict — such as irrigation systems, roads, storage facilities, and markets — ensuring that reconstruction incorporates resilience to future shocks.</w:t>
      </w:r>
    </w:p>
    <w:p w:rsidR="00000000" w:rsidDel="00000000" w:rsidP="00000000" w:rsidRDefault="00000000" w:rsidRPr="00000000" w14:paraId="0000002D">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donors to provide technical, logistical, and material support to United Nations and NGO humanitarian operations addressing food insecurity, including by strengthening logistical hubs, warehousing, and local procurement capacity to enable rapid food aid delivery.</w:t>
      </w:r>
    </w:p>
    <w:p w:rsidR="00000000" w:rsidDel="00000000" w:rsidP="00000000" w:rsidRDefault="00000000" w:rsidRPr="00000000" w14:paraId="0000002E">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and international organizations to share technology and innovations with conflict-affected countries, such as climate-smart agriculture, satellite monitoring of crops, drought-resistant seeds, and digital tools, to enhance food production and supply chain resilience.</w:t>
      </w:r>
      <w:r w:rsidDel="00000000" w:rsidR="00000000" w:rsidRPr="00000000">
        <w:rPr>
          <w:rtl w:val="0"/>
        </w:rPr>
      </w:r>
    </w:p>
    <w:p w:rsidR="00000000" w:rsidDel="00000000" w:rsidP="00000000" w:rsidRDefault="00000000" w:rsidRPr="00000000" w14:paraId="0000002F">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for macroeconomic and trade policy support to stabilize economies affected by conflict-related food crises, such as debt relief, foreign exchange support for food imports, and measures to maintain open trade of essential food commodities.</w:t>
      </w:r>
      <w:r w:rsidDel="00000000" w:rsidR="00000000" w:rsidRPr="00000000">
        <w:rPr>
          <w:rtl w:val="0"/>
        </w:rPr>
      </w:r>
    </w:p>
    <w:p w:rsidR="00000000" w:rsidDel="00000000" w:rsidP="00000000" w:rsidRDefault="00000000" w:rsidRPr="00000000" w14:paraId="00000030">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w:t>
      </w:r>
      <w:commentRangeStart w:id="0"/>
      <w:r w:rsidDel="00000000" w:rsidR="00000000" w:rsidRPr="00000000">
        <w:rPr>
          <w:rFonts w:ascii="Times New Roman" w:cs="Times New Roman" w:eastAsia="Times New Roman" w:hAnsi="Times New Roman"/>
          <w:i w:val="1"/>
          <w:iCs w:val="1"/>
          <w:sz w:val="20"/>
          <w:szCs w:val="20"/>
          <w:rtl w:val="0"/>
        </w:rPr>
        <w:t xml:space="preserve">mphasizes</w:t>
      </w:r>
      <w:r w:rsidDel="00000000" w:rsidR="00000000" w:rsidRPr="00000000">
        <w:rPr>
          <w:rFonts w:ascii="Times New Roman" w:cs="Times New Roman" w:eastAsia="Times New Roman" w:hAnsi="Times New Roman"/>
          <w:sz w:val="20"/>
          <w:szCs w:val="20"/>
          <w:rtl w:val="0"/>
        </w:rPr>
        <w:t xml:space="preserve"> support for internally displaced persons, refugees, and their host communities in crisis-affected areas, including through targeted livelihood assistance and nutrition programs, to ensure that all vulnerable populations maintain acc</w:t>
      </w:r>
      <w:commentRangeEnd w:id="0"/>
      <w:r w:rsidDel="00000000" w:rsidR="00000000" w:rsidRPr="00000000">
        <w:commentReference w:id="0"/>
      </w:r>
      <w:r w:rsidDel="00000000" w:rsidR="00000000" w:rsidRPr="00000000">
        <w:rPr>
          <w:rFonts w:ascii="Times New Roman" w:cs="Times New Roman" w:eastAsia="Times New Roman" w:hAnsi="Times New Roman"/>
          <w:sz w:val="20"/>
          <w:szCs w:val="20"/>
          <w:rtl w:val="0"/>
        </w:rPr>
        <w:t xml:space="preserve">ess to adequate food during protracted crises.  </w:t>
      </w:r>
      <w:r w:rsidDel="00000000" w:rsidR="00000000" w:rsidRPr="00000000">
        <w:rPr>
          <w:rtl w:val="0"/>
        </w:rPr>
      </w:r>
    </w:p>
    <w:p w:rsidR="00000000" w:rsidDel="00000000" w:rsidP="00000000" w:rsidRDefault="00000000" w:rsidRPr="00000000" w14:paraId="00000031">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that addressing food insecurity caused by armed conflict requires a comprehensive approach guided by the principles of the Charter of the United Nations and relevant international legal frameworks, including international humanitarian and human rights law, and reaffirms the right to food as a fundamental human right.</w:t>
      </w:r>
      <w:r w:rsidDel="00000000" w:rsidR="00000000" w:rsidRPr="00000000">
        <w:rPr>
          <w:rtl w:val="0"/>
        </w:rPr>
      </w:r>
    </w:p>
    <w:p w:rsidR="00000000" w:rsidDel="00000000" w:rsidP="00000000" w:rsidRDefault="00000000" w:rsidRPr="00000000" w14:paraId="00000032">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parties to armed conflict to fully comply with their obligations under international humanitarian law, to protect civilians and civilian infrastructure essential for food security, and to facilitate safe and unimpeded humanitarian access to those in need. </w:t>
      </w:r>
    </w:p>
    <w:p w:rsidR="00000000" w:rsidDel="00000000" w:rsidP="00000000" w:rsidRDefault="00000000" w:rsidRPr="00000000" w14:paraId="00000033">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for the safeguarding of food production </w:t>
      </w:r>
      <w:r w:rsidDel="00000000" w:rsidR="00000000" w:rsidRPr="00000000">
        <w:rPr>
          <w:rFonts w:ascii="Times New Roman" w:cs="Times New Roman" w:eastAsia="Times New Roman" w:hAnsi="Times New Roman"/>
          <w:sz w:val="20"/>
          <w:szCs w:val="20"/>
          <w:rtl w:val="0"/>
        </w:rPr>
        <w:t xml:space="preserve">globally</w:t>
      </w:r>
      <w:r w:rsidDel="00000000" w:rsidR="00000000" w:rsidRPr="00000000">
        <w:rPr>
          <w:rFonts w:ascii="Times New Roman" w:cs="Times New Roman" w:eastAsia="Times New Roman" w:hAnsi="Times New Roman"/>
          <w:sz w:val="20"/>
          <w:szCs w:val="20"/>
          <w:rtl w:val="0"/>
        </w:rPr>
        <w:t xml:space="preserve">, including agricultural land, farms, storage facilities, and transport routes, from the impacts of armed conflict, and emphasizes the importance of protecting farmers and food supply workers to preserve local and national food supplies.</w:t>
      </w:r>
    </w:p>
    <w:p w:rsidR="00000000" w:rsidDel="00000000" w:rsidP="00000000" w:rsidRDefault="00000000" w:rsidRPr="00000000" w14:paraId="00000034">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and relevant international and regional organizations to integrate food security considerations into conflict prevention and peacebuilding strategies, including addressing resource competition and climate shocks that may trigger or exacerbate conflicts, to reduce the risk of food crises.</w:t>
      </w:r>
    </w:p>
    <w:p w:rsidR="00000000" w:rsidDel="00000000" w:rsidP="00000000" w:rsidRDefault="00000000" w:rsidRPr="00000000" w14:paraId="00000035">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the development of robust early-warning systems and contingency plans that monitor food security and nutrition indicators in conflict-affected areas, and calls for the establishment of clear anticipatory action thresholds to trigger timely humanitarian interventions before conditions deteriorate into famine or mass malnutrition.</w:t>
      </w:r>
    </w:p>
    <w:p w:rsidR="00000000" w:rsidDel="00000000" w:rsidP="00000000" w:rsidRDefault="00000000" w:rsidRPr="00000000" w14:paraId="00000036">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Member States and media outlets to ensure that accurate information about food availability and humanitarian assistance reaches affected populations, and to counter misinformation and propaganda that could exacerbate food insecurity or social tensions during conflicts.</w:t>
      </w:r>
      <w:r w:rsidDel="00000000" w:rsidR="00000000" w:rsidRPr="00000000">
        <w:rPr>
          <w:rtl w:val="0"/>
        </w:rPr>
      </w:r>
    </w:p>
    <w:p w:rsidR="00000000" w:rsidDel="00000000" w:rsidP="00000000" w:rsidRDefault="00000000" w:rsidRPr="00000000" w14:paraId="00000037">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parties to armed conflict to allow and facilitate safe, sustained, and predictable humanitarian access for food and relief supplies, and encourages the use of </w:t>
      </w:r>
      <w:r w:rsidDel="00000000" w:rsidR="00000000" w:rsidRPr="00000000">
        <w:rPr>
          <w:rFonts w:ascii="Times New Roman" w:cs="Times New Roman" w:eastAsia="Times New Roman" w:hAnsi="Times New Roman"/>
          <w:sz w:val="20"/>
          <w:szCs w:val="20"/>
          <w:rtl w:val="0"/>
        </w:rPr>
        <w:t xml:space="preserve">negotiation</w:t>
      </w:r>
      <w:r w:rsidDel="00000000" w:rsidR="00000000" w:rsidRPr="00000000">
        <w:rPr>
          <w:rFonts w:ascii="Times New Roman" w:cs="Times New Roman" w:eastAsia="Times New Roman" w:hAnsi="Times New Roman"/>
          <w:sz w:val="20"/>
          <w:szCs w:val="20"/>
          <w:rtl w:val="0"/>
        </w:rPr>
        <w:t xml:space="preserve"> to prevent attacks on aid workers and convoys </w:t>
      </w:r>
      <w:r w:rsidDel="00000000" w:rsidR="00000000" w:rsidRPr="00000000">
        <w:rPr>
          <w:rFonts w:ascii="Times New Roman" w:cs="Times New Roman" w:eastAsia="Times New Roman" w:hAnsi="Times New Roman"/>
          <w:sz w:val="20"/>
          <w:szCs w:val="20"/>
          <w:rtl w:val="0"/>
        </w:rPr>
        <w:t xml:space="preserve">to protect civilian life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8">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Member States and humanitarian agencies to provide diversified emergency food assistance modalities — including general food distributions, food vouchers, cash transfers, and school feeding programs — tailored to local contexts and with a focus on meeting basic caloric and nutritional needs.</w:t>
      </w:r>
    </w:p>
    <w:p w:rsidR="00000000" w:rsidDel="00000000" w:rsidP="00000000" w:rsidRDefault="00000000" w:rsidRPr="00000000" w14:paraId="00000039">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the need for integrated emergency nutrition programs in conflict emergencies, including therapeutic feeding for severe acute malnutrition, micronutrient supplementation, and support for breastfeeding and infant nutrition, to prevent life-threatening malnutrition among the vulnerable population, such as women and children, older persons, and persons with disabilities.</w:t>
      </w:r>
      <w:r w:rsidDel="00000000" w:rsidR="00000000" w:rsidRPr="00000000">
        <w:rPr>
          <w:rtl w:val="0"/>
        </w:rPr>
      </w:r>
    </w:p>
    <w:p w:rsidR="00000000" w:rsidDel="00000000" w:rsidP="00000000" w:rsidRDefault="00000000" w:rsidRPr="00000000" w14:paraId="0000003A">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Member States and other relevant stakeholders, in their own countries,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markets.</w:t>
      </w:r>
    </w:p>
    <w:p w:rsidR="00000000" w:rsidDel="00000000" w:rsidP="00000000" w:rsidRDefault="00000000" w:rsidRPr="00000000" w14:paraId="0000003B">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the need to keep trade channels and markets open for the movement of food, fuel, fertilizer and other agricultural inputs and outputs, and notes the importance of working towards eliminating all forms of protectionism, while calling for improved regional coordination to ensure that essential goods can transit safely across borders and through key logistical nodes during periods of volatility, and encouraging the protection and stabilization of international trade routes and supply corridors connected to food systems, recognizing their central role in global food security.</w:t>
      </w:r>
      <w:r w:rsidDel="00000000" w:rsidR="00000000" w:rsidRPr="00000000">
        <w:rPr>
          <w:rtl w:val="0"/>
        </w:rPr>
      </w:r>
    </w:p>
    <w:p w:rsidR="00000000" w:rsidDel="00000000" w:rsidP="00000000" w:rsidRDefault="00000000" w:rsidRPr="00000000" w14:paraId="0000003C">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use of targeted economic measures to stabilize markets during conflict crises, such as strategic grain releases, temporary subsidies or cash transfers for the poorest, and careful management of import and export restrictions to mitigate inflation and ensure the affordability of essential food.</w:t>
      </w:r>
      <w:r w:rsidDel="00000000" w:rsidR="00000000" w:rsidRPr="00000000">
        <w:rPr>
          <w:rtl w:val="0"/>
        </w:rPr>
      </w:r>
    </w:p>
    <w:p w:rsidR="00000000" w:rsidDel="00000000" w:rsidP="00000000" w:rsidRDefault="00000000" w:rsidRPr="00000000" w14:paraId="0000003D">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international community to deploy diplomatic and economic leverage to discourage the use of starvation as a method of warfare, and to support parties that facilitate humanitarian access and comply with food security obligations.</w:t>
      </w:r>
    </w:p>
    <w:p w:rsidR="00000000" w:rsidDel="00000000" w:rsidP="00000000" w:rsidRDefault="00000000" w:rsidRPr="00000000" w14:paraId="0000003E">
      <w:pPr>
        <w:widowControl w:val="0"/>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1"/>
          <w:szCs w:val="21"/>
          <w:rtl w:val="0"/>
        </w:rPr>
        <w:t xml:space="preserve">Supports</w:t>
      </w:r>
      <w:r w:rsidDel="00000000" w:rsidR="00000000" w:rsidRPr="00000000">
        <w:rPr>
          <w:rFonts w:ascii="Times New Roman" w:cs="Times New Roman" w:eastAsia="Times New Roman" w:hAnsi="Times New Roman"/>
          <w:sz w:val="21"/>
          <w:szCs w:val="21"/>
          <w:rtl w:val="0"/>
        </w:rPr>
        <w:t xml:space="preserve"> cooperative resource-sharing among neighboring states, with particular regard to water, energy, and land critical for cultivation;</w:t>
      </w:r>
      <w:r w:rsidDel="00000000" w:rsidR="00000000" w:rsidRPr="00000000">
        <w:rPr>
          <w:rtl w:val="0"/>
        </w:rPr>
      </w:r>
    </w:p>
    <w:p w:rsidR="00000000" w:rsidDel="00000000" w:rsidP="00000000" w:rsidRDefault="00000000" w:rsidRPr="00000000" w14:paraId="0000003F">
      <w:pPr>
        <w:widowControl w:val="0"/>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a Tiered Response Strategy which:</w:t>
      </w:r>
    </w:p>
    <w:p w:rsidR="00000000" w:rsidDel="00000000" w:rsidP="00000000" w:rsidRDefault="00000000" w:rsidRPr="00000000" w14:paraId="00000040">
      <w:pPr>
        <w:widowControl w:val="0"/>
        <w:numPr>
          <w:ilvl w:val="1"/>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Priority A: For nations currently experiencing conflict, and focuses on immediate air-drops, mobile kitchens, and rapid-response nutritional kits;</w:t>
      </w:r>
    </w:p>
    <w:p w:rsidR="00000000" w:rsidDel="00000000" w:rsidP="00000000" w:rsidRDefault="00000000" w:rsidRPr="00000000" w14:paraId="00000041">
      <w:pPr>
        <w:widowControl w:val="0"/>
        <w:numPr>
          <w:ilvl w:val="1"/>
          <w:numId w:val="1"/>
        </w:numPr>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Priority B: For nations recovering from conflicts, and focuses on a “cash-for-work” rehabilitation</w:t>
      </w:r>
      <w:r w:rsidDel="00000000" w:rsidR="00000000" w:rsidRPr="00000000">
        <w:rPr>
          <w:rFonts w:ascii="Times New Roman" w:cs="Times New Roman" w:eastAsia="Times New Roman" w:hAnsi="Times New Roman"/>
          <w:sz w:val="21"/>
          <w:szCs w:val="21"/>
          <w:rtl w:val="0"/>
        </w:rPr>
        <w:t xml:space="preserve"> to a short-term humanitarian assistance intervention that provides temporary employment to vulnerable populations in exchange for a cash wage) of local markets and the clearing of landmines from arable soil;</w:t>
      </w:r>
    </w:p>
    <w:p w:rsidR="00000000" w:rsidDel="00000000" w:rsidP="00000000" w:rsidRDefault="00000000" w:rsidRPr="00000000" w14:paraId="00000042">
      <w:pPr>
        <w:widowControl w:val="0"/>
        <w:numPr>
          <w:ilvl w:val="1"/>
          <w:numId w:val="1"/>
        </w:numPr>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Priority C: For countries recovered from conflict, and focuses on the transition to fully national-managed sustainable agricultural systems;</w:t>
      </w:r>
    </w:p>
    <w:p w:rsidR="00000000" w:rsidDel="00000000" w:rsidP="00000000" w:rsidRDefault="00000000" w:rsidRPr="00000000" w14:paraId="00000043">
      <w:pPr>
        <w:widowControl w:val="0"/>
        <w:numPr>
          <w:ilvl w:val="0"/>
          <w:numId w:val="1"/>
        </w:numPr>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Emphasizes</w:t>
      </w:r>
      <w:r w:rsidDel="00000000" w:rsidR="00000000" w:rsidRPr="00000000">
        <w:rPr>
          <w:rFonts w:ascii="Times New Roman" w:cs="Times New Roman" w:eastAsia="Times New Roman" w:hAnsi="Times New Roman"/>
          <w:sz w:val="21"/>
          <w:szCs w:val="21"/>
          <w:rtl w:val="0"/>
        </w:rPr>
        <w:t xml:space="preserve"> the need for a dual-track approach to aid distribution:</w:t>
      </w:r>
    </w:p>
    <w:p w:rsidR="00000000" w:rsidDel="00000000" w:rsidP="00000000" w:rsidRDefault="00000000" w:rsidRPr="00000000" w14:paraId="00000044">
      <w:pPr>
        <w:widowControl w:val="0"/>
        <w:numPr>
          <w:ilvl w:val="1"/>
          <w:numId w:val="1"/>
        </w:numPr>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Shock-Responsive Interventions: In regions currently experiencing crisis, deploying rapid nutritional support, mobile water purification systems, and temporary labor schemes to preserve household purchasing power and ensure market continuity;</w:t>
      </w:r>
    </w:p>
    <w:p w:rsidR="00000000" w:rsidDel="00000000" w:rsidP="00000000" w:rsidRDefault="00000000" w:rsidRPr="00000000" w14:paraId="00000045">
      <w:pPr>
        <w:widowControl w:val="0"/>
        <w:numPr>
          <w:ilvl w:val="1"/>
          <w:numId w:val="1"/>
        </w:numPr>
        <w:ind w:left="144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Long-term Resilience-Building Interventions: In regions transitioning out of crisis, channeling resources into permanent irrigation networks, agricultural financing institutions, and electrical grid rehabilitation to enable long-term food system recovery and growth;</w:t>
      </w:r>
    </w:p>
    <w:p w:rsidR="00000000" w:rsidDel="00000000" w:rsidP="00000000" w:rsidRDefault="00000000" w:rsidRPr="00000000" w14:paraId="00000046">
      <w:pPr>
        <w:widowControl w:val="0"/>
        <w:numPr>
          <w:ilvl w:val="0"/>
          <w:numId w:val="1"/>
        </w:numPr>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Requests</w:t>
      </w:r>
      <w:r w:rsidDel="00000000" w:rsidR="00000000" w:rsidRPr="00000000">
        <w:rPr>
          <w:rFonts w:ascii="Times New Roman" w:cs="Times New Roman" w:eastAsia="Times New Roman" w:hAnsi="Times New Roman"/>
          <w:sz w:val="21"/>
          <w:szCs w:val="21"/>
          <w:rtl w:val="0"/>
        </w:rPr>
        <w:t xml:space="preserve"> that all nutritional aid distributed in volatile regions be funneled through pre-existing, vetted nongovernment international organizations (such as the FAO, WFP, etc) to utilize their established ground-level logistics and prevent the diversion of resources while remaining transparency of the use of received aid;</w:t>
      </w:r>
    </w:p>
    <w:p w:rsidR="00000000" w:rsidDel="00000000" w:rsidP="00000000" w:rsidRDefault="00000000" w:rsidRPr="00000000" w14:paraId="00000047">
      <w:pPr>
        <w:widowControl w:val="0"/>
        <w:numPr>
          <w:ilvl w:val="0"/>
          <w:numId w:val="1"/>
        </w:numPr>
        <w:spacing w:after="0" w:afterAutospacing="0"/>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Encourages</w:t>
      </w:r>
      <w:r w:rsidDel="00000000" w:rsidR="00000000" w:rsidRPr="00000000">
        <w:rPr>
          <w:rFonts w:ascii="Times New Roman" w:cs="Times New Roman" w:eastAsia="Times New Roman" w:hAnsi="Times New Roman"/>
          <w:sz w:val="21"/>
          <w:szCs w:val="21"/>
          <w:rtl w:val="0"/>
        </w:rPr>
        <w:t xml:space="preserve"> the diversification of supply sources through South-South Trade Agreements, reducing over-reliance on a single "breadbasket" region and thus mitigating the risk of total supply chain failure;</w:t>
      </w:r>
    </w:p>
    <w:p w:rsidR="00000000" w:rsidDel="00000000" w:rsidP="00000000" w:rsidRDefault="00000000" w:rsidRPr="00000000" w14:paraId="00000048">
      <w:pPr>
        <w:widowControl w:val="0"/>
        <w:numPr>
          <w:ilvl w:val="0"/>
          <w:numId w:val="1"/>
        </w:numPr>
        <w:spacing w:after="240" w:before="0" w:beforeAutospacing="0" w:line="240" w:lineRule="auto"/>
        <w:ind w:left="720" w:hanging="3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1"/>
          <w:szCs w:val="21"/>
          <w:rtl w:val="0"/>
        </w:rPr>
        <w:t xml:space="preserve">Requests </w:t>
      </w:r>
      <w:r w:rsidDel="00000000" w:rsidR="00000000" w:rsidRPr="00000000">
        <w:rPr>
          <w:rFonts w:ascii="Times New Roman" w:cs="Times New Roman" w:eastAsia="Times New Roman" w:hAnsi="Times New Roman"/>
          <w:sz w:val="21"/>
          <w:szCs w:val="21"/>
          <w:rtl w:val="0"/>
        </w:rPr>
        <w:t xml:space="preserve">Member States to remain actively seized of the matter.</w:t>
      </w:r>
      <w:r w:rsidDel="00000000" w:rsidR="00000000" w:rsidRPr="00000000">
        <w:rPr>
          <w:rtl w:val="0"/>
        </w:rPr>
      </w:r>
    </w:p>
    <w:p w:rsidR="00000000" w:rsidDel="00000000" w:rsidP="00000000" w:rsidRDefault="00000000" w:rsidRPr="00000000" w14:paraId="00000049">
      <w:pPr>
        <w:widowControl w:val="0"/>
        <w:spacing w:after="240" w:before="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headerReference r:id="rId8" w:type="default"/>
      <w:headerReference r:id="rId9" w:type="first"/>
      <w:footerReference r:id="rId10" w:type="first"/>
      <w:pgSz w:h="16834" w:w="11909" w:orient="portrait"/>
      <w:pgMar w:bottom="1440.0000000000002" w:top="0" w:left="1440.0000000000002" w:right="1440.0000000000002" w:header="566.9291338582677"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eiji Kanegae" w:id="0" w:date="2026-01-11T04:58:21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INCLUDE AGRICULTURAL SKILL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sz w:val="58"/>
        <w:szCs w:val="5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