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WP</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General Assembly</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-86329</wp:posOffset>
                  </wp:positionH>
                  <wp:positionV relativeFrom="paragraph">
                    <wp:posOffset>-239389</wp:posOffset>
                  </wp:positionV>
                  <wp:extent cx="734886" cy="691085"/>
                  <wp:effectExtent b="0" l="0" r="0" t="0"/>
                  <wp:wrapNone/>
                  <wp:docPr id="11865220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Issues Caused by Conflict</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Sponsors: </w:t>
      </w:r>
      <w:r w:rsidDel="00000000" w:rsidR="00000000" w:rsidRPr="00000000">
        <w:rPr>
          <w:rFonts w:ascii="Times New Roman" w:cs="Times New Roman" w:eastAsia="Times New Roman" w:hAnsi="Times New Roman"/>
          <w:sz w:val="20"/>
          <w:szCs w:val="20"/>
          <w:rtl w:val="0"/>
        </w:rPr>
        <w:t xml:space="preserve">Afghanistan, Bangladesh, Bosnia and Herzegovina, Chad, Iran, Iraq, Lebanon, Myanmar, Pakistan, the Philippines, Qatar, Saudi Arabia, Syria, Thailand, the Republic of Korea, the United Arab Emirates, Turkey, Vietnam</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5">
      <w:pPr>
        <w:spacing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Recognising</w:t>
      </w:r>
      <w:r w:rsidDel="00000000" w:rsidR="00000000" w:rsidRPr="00000000">
        <w:rPr>
          <w:rFonts w:ascii="Times New Roman" w:cs="Times New Roman" w:eastAsia="Times New Roman" w:hAnsi="Times New Roman"/>
          <w:rtl w:val="0"/>
        </w:rPr>
        <w:t xml:space="preserve"> the growing link between conflict-driven instability and food insecurity across both producing and importing regions,</w:t>
      </w:r>
    </w:p>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Acknowledging</w:t>
      </w:r>
      <w:r w:rsidDel="00000000" w:rsidR="00000000" w:rsidRPr="00000000">
        <w:rPr>
          <w:rFonts w:ascii="Times New Roman" w:cs="Times New Roman" w:eastAsia="Times New Roman" w:hAnsi="Times New Roman"/>
          <w:rtl w:val="0"/>
        </w:rPr>
        <w:t xml:space="preserve"> the vulnerability of international supply chains, trade routes, and resource corridors to disruption during periods of crisis,</w:t>
      </w:r>
    </w:p>
    <w:p w:rsidR="00000000" w:rsidDel="00000000" w:rsidP="00000000" w:rsidRDefault="00000000" w:rsidRPr="00000000" w14:paraId="0000001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Deeply concerned</w:t>
      </w:r>
      <w:r w:rsidDel="00000000" w:rsidR="00000000" w:rsidRPr="00000000">
        <w:rPr>
          <w:rFonts w:ascii="Times New Roman" w:cs="Times New Roman" w:eastAsia="Times New Roman" w:hAnsi="Times New Roman"/>
          <w:rtl w:val="0"/>
        </w:rPr>
        <w:t xml:space="preserve"> that prolonged dependence on external relief limits long-term national self-sufficiency and delays agricultural recovery,</w:t>
      </w:r>
    </w:p>
    <w:p w:rsidR="00000000" w:rsidDel="00000000" w:rsidP="00000000" w:rsidRDefault="00000000" w:rsidRPr="00000000" w14:paraId="0000001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Affirming</w:t>
      </w:r>
      <w:r w:rsidDel="00000000" w:rsidR="00000000" w:rsidRPr="00000000">
        <w:rPr>
          <w:rFonts w:ascii="Times New Roman" w:cs="Times New Roman" w:eastAsia="Times New Roman" w:hAnsi="Times New Roman"/>
          <w:rtl w:val="0"/>
        </w:rPr>
        <w:t xml:space="preserve"> that food security is integral to national security, economic stability, and regional cooperation,</w:t>
      </w:r>
    </w:p>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76" w:lineRule="auto"/>
        <w:ind w:firstLine="720"/>
        <w:rPr>
          <w:rFonts w:ascii="Arial" w:cs="Arial" w:eastAsia="Arial" w:hAnsi="Arial"/>
        </w:rPr>
      </w:pPr>
      <w:r w:rsidDel="00000000" w:rsidR="00000000" w:rsidRPr="00000000">
        <w:rPr>
          <w:rFonts w:ascii="Times New Roman" w:cs="Times New Roman" w:eastAsia="Times New Roman" w:hAnsi="Times New Roman"/>
          <w:i w:val="1"/>
          <w:iCs w:val="1"/>
          <w:rtl w:val="0"/>
        </w:rPr>
        <w:t xml:space="preserve">Emphasising</w:t>
      </w:r>
      <w:r w:rsidDel="00000000" w:rsidR="00000000" w:rsidRPr="00000000">
        <w:rPr>
          <w:rFonts w:ascii="Times New Roman" w:cs="Times New Roman" w:eastAsia="Times New Roman" w:hAnsi="Times New Roman"/>
          <w:rtl w:val="0"/>
        </w:rPr>
        <w:t xml:space="preserve"> the importance of transitioning from emergency responses to sustainable, sovereign agricultural systems over time,</w:t>
      </w: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0"/>
          <w:numId w:val="1"/>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Encourages</w:t>
      </w:r>
      <w:r w:rsidDel="00000000" w:rsidR="00000000" w:rsidRPr="00000000">
        <w:rPr>
          <w:rFonts w:ascii="Times New Roman" w:cs="Times New Roman" w:eastAsia="Times New Roman" w:hAnsi="Times New Roman"/>
          <w:rtl w:val="0"/>
        </w:rPr>
        <w:t xml:space="preserve"> nations to integrate food security resilience into national development strategies, recognising agriculture as strategic infrastructure;</w:t>
      </w:r>
    </w:p>
    <w:p w:rsidR="00000000" w:rsidDel="00000000" w:rsidP="00000000" w:rsidRDefault="00000000" w:rsidRPr="00000000" w14:paraId="00000020">
      <w:pPr>
        <w:numPr>
          <w:ilvl w:val="1"/>
          <w:numId w:val="1"/>
        </w:numPr>
        <w:spacing w:after="0" w:afterAutospacing="0" w:before="0" w:beforeAutospacing="0" w:lineRule="auto"/>
        <w:ind w:left="144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Calls</w:t>
      </w:r>
      <w:r w:rsidDel="00000000" w:rsidR="00000000" w:rsidRPr="00000000">
        <w:rPr>
          <w:rFonts w:ascii="Times New Roman" w:cs="Times New Roman" w:eastAsia="Times New Roman" w:hAnsi="Times New Roman"/>
          <w:rtl w:val="0"/>
        </w:rPr>
        <w:t xml:space="preserve"> for the safeguarding of food production globally, including agricultural land, farms, storage facilities and transport routes, from the impacts of armed conflict, and emphasises the importance of protecting farmers and food supply workers to preserve local and national food supplies.</w:t>
      </w:r>
    </w:p>
    <w:p w:rsidR="00000000" w:rsidDel="00000000" w:rsidP="00000000" w:rsidRDefault="00000000" w:rsidRPr="00000000" w14:paraId="00000021">
      <w:pPr>
        <w:numPr>
          <w:ilvl w:val="1"/>
          <w:numId w:val="1"/>
        </w:numPr>
        <w:spacing w:after="0" w:afterAutospacing="0" w:before="0" w:beforeAutospacing="0" w:lineRule="auto"/>
        <w:ind w:left="144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Emphasises</w:t>
      </w:r>
      <w:r w:rsidDel="00000000" w:rsidR="00000000" w:rsidRPr="00000000">
        <w:rPr>
          <w:rFonts w:ascii="Times New Roman" w:cs="Times New Roman" w:eastAsia="Times New Roman" w:hAnsi="Times New Roman"/>
          <w:rtl w:val="0"/>
        </w:rPr>
        <w:t xml:space="preserve"> the need for integrated emergency nutrition programs in conflict emergencies, including therapeutic feeding for severe acute malnutrition, micronutrient supplementation, and support for breastfeeding and infant nutrition, to prevent life-threatening malnutrition among the vulnerable population, such as women and children, older persons, and persons with disabilities.</w:t>
      </w:r>
    </w:p>
    <w:p w:rsidR="00000000" w:rsidDel="00000000" w:rsidP="00000000" w:rsidRDefault="00000000" w:rsidRPr="00000000" w14:paraId="00000022">
      <w:pPr>
        <w:numPr>
          <w:ilvl w:val="0"/>
          <w:numId w:val="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Urges</w:t>
      </w:r>
      <w:r w:rsidDel="00000000" w:rsidR="00000000" w:rsidRPr="00000000">
        <w:rPr>
          <w:rFonts w:ascii="Times New Roman" w:cs="Times New Roman" w:eastAsia="Times New Roman" w:hAnsi="Times New Roman"/>
          <w:rtl w:val="0"/>
        </w:rPr>
        <w:t xml:space="preserve"> all parties to armed conflict to allow and facilitate safe, sustained and predictable humanitarian access for food and relief supplies, and encourages the use of negotiation to prevent attacks on aid workers and convoys to protect civilian life.</w:t>
      </w:r>
    </w:p>
    <w:p w:rsidR="00000000" w:rsidDel="00000000" w:rsidP="00000000" w:rsidRDefault="00000000" w:rsidRPr="00000000" w14:paraId="00000023">
      <w:pPr>
        <w:numPr>
          <w:ilvl w:val="0"/>
          <w:numId w:val="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Emphasizes</w:t>
      </w:r>
      <w:r w:rsidDel="00000000" w:rsidR="00000000" w:rsidRPr="00000000">
        <w:rPr>
          <w:rFonts w:ascii="Times New Roman" w:cs="Times New Roman" w:eastAsia="Times New Roman" w:hAnsi="Times New Roman"/>
          <w:rtl w:val="0"/>
        </w:rPr>
        <w:t xml:space="preserve"> that addressing food insecurity caused by armed conflict requires a comprehensive approach guided by the principles of the Charter of the United Nations and relevant international legal frameworks, including international humanitarian and human rights law, and reaffirms the right to food as a fundamental human right.</w:t>
      </w:r>
    </w:p>
    <w:p w:rsidR="00000000" w:rsidDel="00000000" w:rsidP="00000000" w:rsidRDefault="00000000" w:rsidRPr="00000000" w14:paraId="00000024">
      <w:pPr>
        <w:numPr>
          <w:ilvl w:val="0"/>
          <w:numId w:val="1"/>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Supports</w:t>
      </w:r>
      <w:r w:rsidDel="00000000" w:rsidR="00000000" w:rsidRPr="00000000">
        <w:rPr>
          <w:rFonts w:ascii="Times New Roman" w:cs="Times New Roman" w:eastAsia="Times New Roman" w:hAnsi="Times New Roman"/>
          <w:rtl w:val="0"/>
        </w:rPr>
        <w:t xml:space="preserve"> cooperative resource-sharing among neighbouring states, with particular regard to water, energy, and land critical for cultivation;</w:t>
      </w:r>
    </w:p>
    <w:p w:rsidR="00000000" w:rsidDel="00000000" w:rsidP="00000000" w:rsidRDefault="00000000" w:rsidRPr="00000000" w14:paraId="00000025">
      <w:pPr>
        <w:numPr>
          <w:ilvl w:val="1"/>
          <w:numId w:val="1"/>
        </w:numPr>
        <w:spacing w:after="0" w:afterAutospacing="0" w:before="0" w:beforeAutospacing="0" w:lineRule="auto"/>
        <w:ind w:left="144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Calls</w:t>
      </w:r>
      <w:r w:rsidDel="00000000" w:rsidR="00000000" w:rsidRPr="00000000">
        <w:rPr>
          <w:rFonts w:ascii="Times New Roman" w:cs="Times New Roman" w:eastAsia="Times New Roman" w:hAnsi="Times New Roman"/>
          <w:rtl w:val="0"/>
        </w:rPr>
        <w:t xml:space="preserve"> upon Member States and other relevant stakeholders, in their own countries, to keep food and agriculture supply chains functioning, including capacity for seeding, protecting standing crops, rearing livestock and infrastructure for processing food, and to ensure the continued trade in and movement of food and livestock products and inputs essential for agricultural and food production to markets.</w:t>
      </w:r>
    </w:p>
    <w:p w:rsidR="00000000" w:rsidDel="00000000" w:rsidP="00000000" w:rsidRDefault="00000000" w:rsidRPr="00000000" w14:paraId="00000026">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Calls for</w:t>
      </w:r>
      <w:r w:rsidDel="00000000" w:rsidR="00000000" w:rsidRPr="00000000">
        <w:rPr>
          <w:rFonts w:ascii="Times New Roman" w:cs="Times New Roman" w:eastAsia="Times New Roman" w:hAnsi="Times New Roman"/>
          <w:rtl w:val="0"/>
        </w:rPr>
        <w:t xml:space="preserve"> diversification of food supply sources and trade partnerships to reduce reliance on single regions or routes;</w:t>
      </w:r>
      <w:r w:rsidDel="00000000" w:rsidR="00000000" w:rsidRPr="00000000">
        <w:rPr>
          <w:rtl w:val="0"/>
        </w:rPr>
      </w:r>
    </w:p>
    <w:p w:rsidR="00000000" w:rsidDel="00000000" w:rsidP="00000000" w:rsidRDefault="00000000" w:rsidRPr="00000000" w14:paraId="00000027">
      <w:pPr>
        <w:numPr>
          <w:ilvl w:val="0"/>
          <w:numId w:val="1"/>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Emphasizes</w:t>
      </w:r>
      <w:r w:rsidDel="00000000" w:rsidR="00000000" w:rsidRPr="00000000">
        <w:rPr>
          <w:rFonts w:ascii="Times New Roman" w:cs="Times New Roman" w:eastAsia="Times New Roman" w:hAnsi="Times New Roman"/>
          <w:rtl w:val="0"/>
        </w:rPr>
        <w:t xml:space="preserve"> the need for uninterrupted channels for humanitarian and nutritional assistance during crises, ensuring populations remain reachable;</w:t>
      </w:r>
    </w:p>
    <w:p w:rsidR="00000000" w:rsidDel="00000000" w:rsidP="00000000" w:rsidRDefault="00000000" w:rsidRPr="00000000" w14:paraId="00000028">
      <w:pPr>
        <w:numPr>
          <w:ilvl w:val="1"/>
          <w:numId w:val="1"/>
        </w:numPr>
        <w:spacing w:after="0" w:afterAutospacing="0" w:before="0" w:beforeAutospacing="0" w:lineRule="auto"/>
        <w:ind w:left="144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Stresses</w:t>
      </w:r>
      <w:r w:rsidDel="00000000" w:rsidR="00000000" w:rsidRPr="00000000">
        <w:rPr>
          <w:rFonts w:ascii="Times New Roman" w:cs="Times New Roman" w:eastAsia="Times New Roman" w:hAnsi="Times New Roman"/>
          <w:rtl w:val="0"/>
        </w:rPr>
        <w:t xml:space="preserve"> the need to keep trade channels and markets open for the movement of food, fuel, fertilizer and other agricultural inputs and outputs, and notes the importance of working towards eliminating all forms of protectionism.</w:t>
      </w:r>
    </w:p>
    <w:p w:rsidR="00000000" w:rsidDel="00000000" w:rsidP="00000000" w:rsidRDefault="00000000" w:rsidRPr="00000000" w14:paraId="00000029">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Encourages </w:t>
      </w:r>
      <w:r w:rsidDel="00000000" w:rsidR="00000000" w:rsidRPr="00000000">
        <w:rPr>
          <w:rFonts w:ascii="Times New Roman" w:cs="Times New Roman" w:eastAsia="Times New Roman" w:hAnsi="Times New Roman"/>
          <w:rtl w:val="0"/>
        </w:rPr>
        <w:t xml:space="preserve">the international community to stress the importance of preventing the obstruction, militarisation, or politicisation of food supply and agricultural capacity, </w:t>
      </w:r>
      <w:r w:rsidDel="00000000" w:rsidR="00000000" w:rsidRPr="00000000">
        <w:rPr>
          <w:rFonts w:ascii="Times New Roman" w:cs="Times New Roman" w:eastAsia="Times New Roman" w:hAnsi="Times New Roman"/>
          <w:sz w:val="20"/>
          <w:szCs w:val="20"/>
          <w:rtl w:val="0"/>
        </w:rPr>
        <w:t xml:space="preserve"> by deploying diplomatic and economic leverage</w:t>
      </w:r>
      <w:r w:rsidDel="00000000" w:rsidR="00000000" w:rsidRPr="00000000">
        <w:rPr>
          <w:rFonts w:ascii="Times New Roman" w:cs="Times New Roman" w:eastAsia="Times New Roman" w:hAnsi="Times New Roman"/>
          <w:rtl w:val="0"/>
        </w:rPr>
        <w:t xml:space="preserve">;</w:t>
        <w:tab/>
      </w:r>
    </w:p>
    <w:p w:rsidR="00000000" w:rsidDel="00000000" w:rsidP="00000000" w:rsidRDefault="00000000" w:rsidRPr="00000000" w14:paraId="0000002A">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Affirms</w:t>
      </w:r>
      <w:r w:rsidDel="00000000" w:rsidR="00000000" w:rsidRPr="00000000">
        <w:rPr>
          <w:rFonts w:ascii="Times New Roman" w:cs="Times New Roman" w:eastAsia="Times New Roman" w:hAnsi="Times New Roman"/>
          <w:rtl w:val="0"/>
        </w:rPr>
        <w:t xml:space="preserve"> the necessity of strengthening local markets and production capabilities to promote post-conflict recovery and reduce long-term dependency.</w:t>
      </w:r>
    </w:p>
    <w:p w:rsidR="00000000" w:rsidDel="00000000" w:rsidP="00000000" w:rsidRDefault="00000000" w:rsidRPr="00000000" w14:paraId="0000002B">
      <w:pPr>
        <w:numPr>
          <w:ilvl w:val="0"/>
          <w:numId w:val="1"/>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Encourages</w:t>
      </w:r>
      <w:r w:rsidDel="00000000" w:rsidR="00000000" w:rsidRPr="00000000">
        <w:rPr>
          <w:rFonts w:ascii="Times New Roman" w:cs="Times New Roman" w:eastAsia="Times New Roman" w:hAnsi="Times New Roman"/>
          <w:rtl w:val="0"/>
        </w:rPr>
        <w:t xml:space="preserve"> cooperation with international organisations to enhance transparency, logistical efficiency, and coordination of assistance;</w:t>
      </w:r>
    </w:p>
    <w:p w:rsidR="00000000" w:rsidDel="00000000" w:rsidP="00000000" w:rsidRDefault="00000000" w:rsidRPr="00000000" w14:paraId="0000002C">
      <w:pPr>
        <w:numPr>
          <w:ilvl w:val="1"/>
          <w:numId w:val="1"/>
        </w:numPr>
        <w:spacing w:after="0" w:afterAutospacing="0" w:before="0" w:beforeAutospacing="0" w:lineRule="auto"/>
        <w:ind w:left="144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upon the international community to urgently support countries affected by the food security crisis through coordinated actions, including the provision of emergency food supplies, food programmes, financial support, and increased and diversified agricultural production, and to promote a universal, rules-based, open, non-discriminatory and equitable multilateral trading system under the World Trade Organisation.</w:t>
      </w:r>
      <w:r w:rsidDel="00000000" w:rsidR="00000000" w:rsidRPr="00000000">
        <w:rPr>
          <w:rtl w:val="0"/>
        </w:rPr>
      </w:r>
    </w:p>
    <w:p w:rsidR="00000000" w:rsidDel="00000000" w:rsidP="00000000" w:rsidRDefault="00000000" w:rsidRPr="00000000" w14:paraId="0000002D">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on the international community to invest in post-conflict agricultural recovery and livelihood restoration, including the provision of seeds, tools, livestock, training and microfinance to rebuild farmers’ capacities and diversify rural economies.</w:t>
      </w:r>
      <w:r w:rsidDel="00000000" w:rsidR="00000000" w:rsidRPr="00000000">
        <w:rPr>
          <w:rtl w:val="0"/>
        </w:rPr>
      </w:r>
    </w:p>
    <w:p w:rsidR="00000000" w:rsidDel="00000000" w:rsidP="00000000" w:rsidRDefault="00000000" w:rsidRPr="00000000" w14:paraId="0000002E">
      <w:pPr>
        <w:numPr>
          <w:ilvl w:val="0"/>
          <w:numId w:val="1"/>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Supports</w:t>
      </w:r>
      <w:r w:rsidDel="00000000" w:rsidR="00000000" w:rsidRPr="00000000">
        <w:rPr>
          <w:rFonts w:ascii="Times New Roman" w:cs="Times New Roman" w:eastAsia="Times New Roman" w:hAnsi="Times New Roman"/>
          <w:rtl w:val="0"/>
        </w:rPr>
        <w:t xml:space="preserve"> approaches that empower smallholders and rural communities as central actors in agricultural rehabilitation;</w:t>
      </w:r>
    </w:p>
    <w:p w:rsidR="00000000" w:rsidDel="00000000" w:rsidP="00000000" w:rsidRDefault="00000000" w:rsidRPr="00000000" w14:paraId="0000002F">
      <w:pPr>
        <w:numPr>
          <w:ilvl w:val="0"/>
          <w:numId w:val="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Emphasises</w:t>
      </w:r>
      <w:r w:rsidDel="00000000" w:rsidR="00000000" w:rsidRPr="00000000">
        <w:rPr>
          <w:rFonts w:ascii="Times New Roman" w:cs="Times New Roman" w:eastAsia="Times New Roman" w:hAnsi="Times New Roman"/>
          <w:rtl w:val="0"/>
        </w:rPr>
        <w:t xml:space="preserve"> support for internally displaced persons, refugees and their host communities in crisis-affected areas, including through targeted livelihood assistance and nutrition programs, to ensure that all vulnerable populations maintain access to adequate food during protracted crises.</w:t>
      </w:r>
    </w:p>
    <w:p w:rsidR="00000000" w:rsidDel="00000000" w:rsidP="00000000" w:rsidRDefault="00000000" w:rsidRPr="00000000" w14:paraId="00000030">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Requests</w:t>
      </w:r>
      <w:r w:rsidDel="00000000" w:rsidR="00000000" w:rsidRPr="00000000">
        <w:rPr>
          <w:rFonts w:ascii="Times New Roman" w:cs="Times New Roman" w:eastAsia="Times New Roman" w:hAnsi="Times New Roman"/>
          <w:rtl w:val="0"/>
        </w:rPr>
        <w:t xml:space="preserve"> phased frameworks that distinguish between immediate crisis response and long-term resilience building, allowing a gradual transition toward national management;</w:t>
      </w:r>
    </w:p>
    <w:p w:rsidR="00000000" w:rsidDel="00000000" w:rsidP="00000000" w:rsidRDefault="00000000" w:rsidRPr="00000000" w14:paraId="00000031">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Calls</w:t>
      </w:r>
      <w:r w:rsidDel="00000000" w:rsidR="00000000" w:rsidRPr="00000000">
        <w:rPr>
          <w:rFonts w:ascii="Times New Roman" w:cs="Times New Roman" w:eastAsia="Times New Roman" w:hAnsi="Times New Roman"/>
          <w:rtl w:val="0"/>
        </w:rPr>
        <w:t xml:space="preserve"> for improved regional coordination to ensure that essential goods can transit safely across borders and through key nodes during high volatility;</w:t>
      </w:r>
    </w:p>
    <w:p w:rsidR="00000000" w:rsidDel="00000000" w:rsidP="00000000" w:rsidRDefault="00000000" w:rsidRPr="00000000" w14:paraId="00000032">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Encourages</w:t>
      </w:r>
      <w:r w:rsidDel="00000000" w:rsidR="00000000" w:rsidRPr="00000000">
        <w:rPr>
          <w:rFonts w:ascii="Times New Roman" w:cs="Times New Roman" w:eastAsia="Times New Roman" w:hAnsi="Times New Roman"/>
          <w:rtl w:val="0"/>
        </w:rPr>
        <w:t xml:space="preserve"> the protection and stabilisation of international trade routes and supply corridors connected to food systems, recognising their central role in global food security;</w:t>
      </w:r>
    </w:p>
    <w:p w:rsidR="00000000" w:rsidDel="00000000" w:rsidP="00000000" w:rsidRDefault="00000000" w:rsidRPr="00000000" w14:paraId="00000033">
      <w:pPr>
        <w:numPr>
          <w:ilvl w:val="0"/>
          <w:numId w:val="1"/>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Supports</w:t>
      </w:r>
      <w:r w:rsidDel="00000000" w:rsidR="00000000" w:rsidRPr="00000000">
        <w:rPr>
          <w:rFonts w:ascii="Times New Roman" w:cs="Times New Roman" w:eastAsia="Times New Roman" w:hAnsi="Times New Roman"/>
          <w:rtl w:val="0"/>
        </w:rPr>
        <w:t xml:space="preserve"> the establishment of reserve capacities and early-warning mechanisms to reduce shock exposure for import-dependent states;</w:t>
      </w:r>
    </w:p>
    <w:p w:rsidR="00000000" w:rsidDel="00000000" w:rsidP="00000000" w:rsidRDefault="00000000" w:rsidRPr="00000000" w14:paraId="00000034">
      <w:pPr>
        <w:numPr>
          <w:ilvl w:val="0"/>
          <w:numId w:val="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Calls</w:t>
      </w:r>
      <w:r w:rsidDel="00000000" w:rsidR="00000000" w:rsidRPr="00000000">
        <w:rPr>
          <w:rFonts w:ascii="Times New Roman" w:cs="Times New Roman" w:eastAsia="Times New Roman" w:hAnsi="Times New Roman"/>
          <w:rtl w:val="0"/>
        </w:rPr>
        <w:t xml:space="preserve"> for macroeconomic and trade policy support to stabilise economies affected by conflict-related food crises, such as debt relief, foreign exchange support for food imports, and measures to maintain open trade of essential food commodities;</w:t>
      </w:r>
    </w:p>
    <w:p w:rsidR="00000000" w:rsidDel="00000000" w:rsidP="00000000" w:rsidRDefault="00000000" w:rsidRPr="00000000" w14:paraId="00000035">
      <w:pPr>
        <w:numPr>
          <w:ilvl w:val="0"/>
          <w:numId w:val="1"/>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Request</w:t>
      </w:r>
      <w:r w:rsidDel="00000000" w:rsidR="00000000" w:rsidRPr="00000000">
        <w:rPr>
          <w:rFonts w:ascii="Times New Roman" w:cs="Times New Roman" w:eastAsia="Times New Roman" w:hAnsi="Times New Roman"/>
          <w:rtl w:val="0"/>
        </w:rPr>
        <w:t xml:space="preserve"> countries with available surplus food stocks to confirm the effects of release on price stability in the world market, and to release them into the domestic market when prices of certain foods fluctuate due to conflict;</w:t>
      </w:r>
    </w:p>
    <w:p w:rsidR="00000000" w:rsidDel="00000000" w:rsidP="00000000" w:rsidRDefault="00000000" w:rsidRPr="00000000" w14:paraId="00000036">
      <w:pPr>
        <w:numPr>
          <w:ilvl w:val="0"/>
          <w:numId w:val="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Urges</w:t>
      </w:r>
      <w:r w:rsidDel="00000000" w:rsidR="00000000" w:rsidRPr="00000000">
        <w:rPr>
          <w:rFonts w:ascii="Times New Roman" w:cs="Times New Roman" w:eastAsia="Times New Roman" w:hAnsi="Times New Roman"/>
          <w:rtl w:val="0"/>
        </w:rPr>
        <w:t xml:space="preserve"> Member States and media outlets to ensure that accurate information about food availability and humanitarian assistance reaches affected populations, and to counter misinformation and propaganda that could exacerbate food insecurity or social tensions during conflicts.</w:t>
      </w:r>
    </w:p>
    <w:p w:rsidR="00000000" w:rsidDel="00000000" w:rsidP="00000000" w:rsidRDefault="00000000" w:rsidRPr="00000000" w14:paraId="00000037">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Requests</w:t>
      </w:r>
      <w:r w:rsidDel="00000000" w:rsidR="00000000" w:rsidRPr="00000000">
        <w:rPr>
          <w:rFonts w:ascii="Times New Roman" w:cs="Times New Roman" w:eastAsia="Times New Roman" w:hAnsi="Times New Roman"/>
          <w:rtl w:val="0"/>
        </w:rPr>
        <w:t xml:space="preserve"> to remain actively seized of the matter.</w:t>
      </w:r>
    </w:p>
    <w:p w:rsidR="00000000" w:rsidDel="00000000" w:rsidP="00000000" w:rsidRDefault="00000000" w:rsidRPr="00000000" w14:paraId="00000038">
      <w:pPr>
        <w:spacing w:line="276" w:lineRule="auto"/>
        <w:ind w:left="0" w:firstLine="0"/>
        <w:rPr>
          <w:rFonts w:ascii="Times New Roman" w:cs="Times New Roman" w:eastAsia="Times New Roman" w:hAnsi="Times New Roman"/>
          <w:sz w:val="27"/>
          <w:szCs w:val="27"/>
        </w:rPr>
      </w:pPr>
      <w:r w:rsidDel="00000000" w:rsidR="00000000" w:rsidRPr="00000000">
        <w:rPr>
          <w:rtl w:val="0"/>
        </w:rPr>
      </w:r>
    </w:p>
    <w:sectPr>
      <w:headerReference r:id="rId8"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3429B"/>
    <w:pPr>
      <w:tabs>
        <w:tab w:val="center" w:pos="4252"/>
        <w:tab w:val="right" w:pos="8504"/>
      </w:tabs>
      <w:snapToGrid w:val="0"/>
    </w:pPr>
  </w:style>
  <w:style w:type="character" w:styleId="a5" w:customStyle="1">
    <w:name w:val="ヘッダー (文字)"/>
    <w:basedOn w:val="a0"/>
    <w:link w:val="a4"/>
    <w:uiPriority w:val="99"/>
    <w:rsid w:val="00D3429B"/>
  </w:style>
  <w:style w:type="paragraph" w:styleId="a6">
    <w:name w:val="footer"/>
    <w:basedOn w:val="a"/>
    <w:link w:val="a7"/>
    <w:uiPriority w:val="99"/>
    <w:unhideWhenUsed w:val="1"/>
    <w:rsid w:val="00D3429B"/>
    <w:pPr>
      <w:tabs>
        <w:tab w:val="center" w:pos="4252"/>
        <w:tab w:val="right" w:pos="8504"/>
      </w:tabs>
      <w:snapToGrid w:val="0"/>
    </w:pPr>
  </w:style>
  <w:style w:type="character" w:styleId="a7" w:customStyle="1">
    <w:name w:val="フッター (文字)"/>
    <w:basedOn w:val="a0"/>
    <w:link w:val="a6"/>
    <w:uiPriority w:val="99"/>
    <w:rsid w:val="00D3429B"/>
  </w:style>
  <w:style w:type="paragraph" w:styleId="a8">
    <w:name w:val="List Paragraph"/>
    <w:basedOn w:val="a"/>
    <w:uiPriority w:val="34"/>
    <w:qFormat w:val="1"/>
    <w:rsid w:val="00C81283"/>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7lBRfbYk2ehuK7xLcQen2vI2Q==">CgMxLjA4AHIhMUFFa2M5amR5X09rS2hlNWUxZmNfTFpsekpVRHJ4THF4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2023-12-30T05:48:00Z</dcterms:created>
  <dc:creator>持田　隼人</dc:creator>
</cp:coreProperties>
</file>