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jc w:val="left"/>
        <w:rPr>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tbl>
      <w:tblPr>
        <w:tblW w:w="97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33"/>
        <w:gridCol w:w="6160"/>
        <w:gridCol w:w="2447"/>
      </w:tblGrid>
      <w:tr>
        <w:tblPrEx>
          <w:shd w:val="clear" w:color="auto" w:fill="cdd4e9"/>
        </w:tblPrEx>
        <w:trPr>
          <w:trHeight w:val="333" w:hRule="atLeast"/>
        </w:trPr>
        <w:tc>
          <w:tcPr>
            <w:tcW w:type="dxa" w:w="7293"/>
            <w:gridSpan w:val="2"/>
            <w:tcBorders>
              <w:top w:val="nil"/>
              <w:left w:val="nil"/>
              <w:bottom w:val="single" w:color="000000" w:sz="12" w:space="0" w:shadow="0" w:frame="0"/>
              <w:right w:val="nil"/>
            </w:tcBorders>
            <w:shd w:val="clear" w:color="auto" w:fill="auto"/>
            <w:tcMar>
              <w:top w:type="dxa" w:w="80"/>
              <w:left w:type="dxa" w:w="80"/>
              <w:bottom w:type="dxa" w:w="80"/>
              <w:right w:type="dxa" w:w="80"/>
            </w:tcMar>
            <w:vAlign w:val="top"/>
          </w:tcPr>
          <w:p>
            <w:pPr>
              <w:pStyle w:val="Body"/>
              <w:jc w:val="left"/>
            </w:pPr>
            <w:r>
              <w:rPr>
                <w:rFonts w:ascii="Times New Roman" w:hAnsi="Times New Roman"/>
                <w:shd w:val="nil" w:color="auto" w:fill="auto"/>
                <w:rtl w:val="0"/>
                <w:lang w:val="en-US"/>
              </w:rPr>
              <w:t>Japan Educational International Model United Nations</w:t>
            </w:r>
          </w:p>
        </w:tc>
        <w:tc>
          <w:tcPr>
            <w:tcW w:type="dxa" w:w="2446"/>
            <w:tcBorders>
              <w:top w:val="nil"/>
              <w:left w:val="nil"/>
              <w:bottom w:val="single" w:color="000000" w:sz="12" w:space="0" w:shadow="0" w:frame="0"/>
              <w:right w:val="nil"/>
            </w:tcBorders>
            <w:shd w:val="clear" w:color="auto" w:fill="auto"/>
            <w:tcMar>
              <w:top w:type="dxa" w:w="80"/>
              <w:left w:type="dxa" w:w="80"/>
              <w:bottom w:type="dxa" w:w="80"/>
              <w:right w:type="dxa" w:w="80"/>
            </w:tcMar>
            <w:vAlign w:val="center"/>
          </w:tcPr>
          <w:p>
            <w:pPr>
              <w:pStyle w:val="Body"/>
              <w:jc w:val="right"/>
            </w:pPr>
            <w:r>
              <w:rPr>
                <w:rFonts w:ascii="Times New Roman" w:hAnsi="Times New Roman"/>
                <w:sz w:val="28"/>
                <w:szCs w:val="28"/>
                <w:shd w:val="nil" w:color="auto" w:fill="auto"/>
                <w:rtl w:val="0"/>
                <w:lang w:val="en-US"/>
              </w:rPr>
              <w:t>MA</w:t>
            </w:r>
            <w:r>
              <w:rPr>
                <w:rFonts w:ascii="Times New Roman" w:hAnsi="Times New Roman"/>
                <w:shd w:val="nil" w:color="auto" w:fill="auto"/>
                <w:rtl w:val="0"/>
                <w:lang w:val="en-US"/>
              </w:rPr>
              <w:t>/80/</w:t>
            </w:r>
            <w:r>
              <w:rPr>
                <w:rFonts w:ascii="Times New Roman" w:hAnsi="Times New Roman"/>
                <w:b w:val="1"/>
                <w:bCs w:val="1"/>
                <w:outline w:val="0"/>
                <w:color w:val="ff0000"/>
                <w:u w:color="ff0000"/>
                <w:shd w:val="nil" w:color="auto" w:fill="auto"/>
                <w:rtl w:val="0"/>
                <w:lang w:val="en-US"/>
                <w14:textFill>
                  <w14:solidFill>
                    <w14:srgbClr w14:val="FF0000"/>
                  </w14:solidFill>
                </w14:textFill>
              </w:rPr>
              <w:t>WP</w:t>
            </w:r>
            <w:r>
              <w:rPr>
                <w:rFonts w:ascii="Times New Roman" w:hAnsi="Times New Roman"/>
                <w:shd w:val="nil" w:color="auto" w:fill="auto"/>
                <w:rtl w:val="0"/>
                <w:lang w:val="en-US"/>
              </w:rPr>
              <w:t>.xx</w:t>
            </w:r>
            <w:r>
              <w:rPr>
                <w:rFonts w:ascii="Times New Roman" w:hAnsi="Times New Roman"/>
                <w:sz w:val="28"/>
                <w:szCs w:val="28"/>
                <w:shd w:val="nil" w:color="auto" w:fill="auto"/>
                <w:rtl w:val="0"/>
                <w:lang w:val="en-US"/>
              </w:rPr>
              <w:t xml:space="preserve">  </w:t>
            </w:r>
          </w:p>
        </w:tc>
      </w:tr>
      <w:tr>
        <w:tblPrEx>
          <w:shd w:val="clear" w:color="auto" w:fill="cdd4e9"/>
        </w:tblPrEx>
        <w:trPr>
          <w:trHeight w:val="323" w:hRule="atLeast"/>
        </w:trPr>
        <w:tc>
          <w:tcPr>
            <w:tcW w:type="dxa" w:w="1133"/>
            <w:tcBorders>
              <w:top w:val="single" w:color="000000" w:sz="12" w:space="0" w:shadow="0" w:frame="0"/>
              <w:left w:val="nil"/>
              <w:bottom w:val="nil"/>
              <w:right w:val="nil"/>
            </w:tcBorders>
            <w:shd w:val="clear" w:color="auto" w:fill="auto"/>
            <w:tcMar>
              <w:top w:type="dxa" w:w="80"/>
              <w:left w:type="dxa" w:w="80"/>
              <w:bottom w:type="dxa" w:w="80"/>
              <w:right w:type="dxa" w:w="80"/>
            </w:tcMar>
            <w:vAlign w:val="top"/>
          </w:tcPr>
          <w:p/>
        </w:tc>
        <w:tc>
          <w:tcPr>
            <w:tcW w:type="dxa" w:w="6160"/>
            <w:vMerge w:val="restart"/>
            <w:tcBorders>
              <w:top w:val="single" w:color="000000" w:sz="12" w:space="0" w:shadow="0" w:frame="0"/>
              <w:left w:val="nil"/>
              <w:bottom w:val="nil"/>
              <w:right w:val="nil"/>
            </w:tcBorders>
            <w:shd w:val="clear" w:color="auto" w:fill="auto"/>
            <w:tcMar>
              <w:top w:type="dxa" w:w="80"/>
              <w:left w:type="dxa" w:w="80"/>
              <w:bottom w:type="dxa" w:w="80"/>
              <w:right w:type="dxa" w:w="80"/>
            </w:tcMar>
            <w:vAlign w:val="center"/>
          </w:tcPr>
          <w:p>
            <w:pPr>
              <w:pStyle w:val="Body"/>
              <w:rPr>
                <w:rFonts w:ascii="Times New Roman" w:cs="Times New Roman" w:hAnsi="Times New Roman" w:eastAsia="Times New Roman"/>
                <w:sz w:val="28"/>
                <w:szCs w:val="28"/>
                <w:shd w:val="nil" w:color="auto" w:fill="auto"/>
              </w:rPr>
            </w:pPr>
            <w:r>
              <w:rPr>
                <w:rFonts w:ascii="Times New Roman" w:hAnsi="Times New Roman"/>
                <w:sz w:val="28"/>
                <w:szCs w:val="28"/>
                <w:shd w:val="nil" w:color="auto" w:fill="auto"/>
                <w:rtl w:val="0"/>
                <w:lang w:val="en-US"/>
              </w:rPr>
              <w:t>United Nations</w:t>
            </w:r>
          </w:p>
          <w:p>
            <w:pPr>
              <w:pStyle w:val="Body"/>
              <w:bidi w:val="0"/>
              <w:ind w:left="0" w:right="0" w:firstLine="0"/>
              <w:jc w:val="both"/>
              <w:rPr>
                <w:rtl w:val="0"/>
              </w:rPr>
            </w:pPr>
            <w:r>
              <w:rPr>
                <w:rFonts w:ascii="Times New Roman" w:hAnsi="Times New Roman"/>
                <w:sz w:val="28"/>
                <w:szCs w:val="28"/>
                <w:shd w:val="nil" w:color="auto" w:fill="auto"/>
                <w:rtl w:val="0"/>
                <w:lang w:val="en-US"/>
              </w:rPr>
              <w:t>General Assembly</w:t>
            </w:r>
            <w:r>
              <w:rPr>
                <w:rFonts w:ascii="Times New Roman" w:cs="Times New Roman" w:hAnsi="Times New Roman" w:eastAsia="Times New Roman"/>
                <w:sz w:val="28"/>
                <w:szCs w:val="28"/>
                <w:shd w:val="nil" w:color="auto" w:fill="auto"/>
              </w:rPr>
            </w:r>
          </w:p>
        </w:tc>
        <w:tc>
          <w:tcPr>
            <w:tcW w:type="dxa" w:w="2446"/>
            <w:tcBorders>
              <w:top w:val="single" w:color="000000" w:sz="12" w:space="0" w:shadow="0" w:frame="0"/>
              <w:left w:val="nil"/>
              <w:bottom w:val="nil"/>
              <w:right w:val="nil"/>
            </w:tcBorders>
            <w:shd w:val="clear" w:color="auto" w:fill="auto"/>
            <w:tcMar>
              <w:top w:type="dxa" w:w="80"/>
              <w:left w:type="dxa" w:w="80"/>
              <w:bottom w:type="dxa" w:w="80"/>
              <w:right w:type="dxa" w:w="80"/>
            </w:tcMar>
            <w:vAlign w:val="center"/>
          </w:tcPr>
          <w:p>
            <w:pPr>
              <w:pStyle w:val="Body"/>
              <w:jc w:val="right"/>
            </w:pPr>
            <w:r>
              <w:rPr>
                <w:rFonts w:ascii="Times New Roman" w:hAnsi="Times New Roman"/>
                <w:shd w:val="nil" w:color="auto" w:fill="auto"/>
                <w:rtl w:val="0"/>
                <w:lang w:val="en-US"/>
              </w:rPr>
              <w:t>Distr.:General</w:t>
            </w:r>
          </w:p>
        </w:tc>
      </w:tr>
      <w:tr>
        <w:tblPrEx>
          <w:shd w:val="clear" w:color="auto" w:fill="cdd4e9"/>
        </w:tblPrEx>
        <w:trPr>
          <w:trHeight w:val="240" w:hRule="atLeast"/>
        </w:trPr>
        <w:tc>
          <w:tcPr>
            <w:tcW w:type="dxa" w:w="1133"/>
            <w:tcBorders>
              <w:top w:val="nil"/>
              <w:left w:val="nil"/>
              <w:bottom w:val="nil"/>
              <w:right w:val="nil"/>
            </w:tcBorders>
            <w:shd w:val="clear" w:color="auto" w:fill="auto"/>
            <w:tcMar>
              <w:top w:type="dxa" w:w="80"/>
              <w:left w:type="dxa" w:w="80"/>
              <w:bottom w:type="dxa" w:w="80"/>
              <w:right w:type="dxa" w:w="80"/>
            </w:tcMar>
            <w:vAlign w:val="top"/>
          </w:tcPr>
          <w:p/>
        </w:tc>
        <w:tc>
          <w:tcPr>
            <w:tcW w:type="dxa" w:w="6160"/>
            <w:vMerge w:val="continue"/>
            <w:tcBorders>
              <w:top w:val="single" w:color="000000" w:sz="12" w:space="0" w:shadow="0" w:frame="0"/>
              <w:left w:val="nil"/>
              <w:bottom w:val="nil"/>
              <w:right w:val="nil"/>
            </w:tcBorders>
            <w:shd w:val="clear" w:color="auto" w:fill="auto"/>
          </w:tcPr>
          <w:p/>
        </w:tc>
        <w:tc>
          <w:tcPr>
            <w:tcW w:type="dxa" w:w="2446"/>
            <w:tcBorders>
              <w:top w:val="nil"/>
              <w:left w:val="nil"/>
              <w:bottom w:val="nil"/>
              <w:right w:val="nil"/>
            </w:tcBorders>
            <w:shd w:val="clear" w:color="auto" w:fill="auto"/>
            <w:tcMar>
              <w:top w:type="dxa" w:w="80"/>
              <w:left w:type="dxa" w:w="80"/>
              <w:bottom w:type="dxa" w:w="80"/>
              <w:right w:type="dxa" w:w="80"/>
            </w:tcMar>
            <w:vAlign w:val="center"/>
          </w:tcPr>
          <w:p>
            <w:pPr>
              <w:pStyle w:val="Body"/>
              <w:jc w:val="right"/>
            </w:pPr>
            <w:r>
              <w:rPr>
                <w:rFonts w:ascii="Times New Roman" w:hAnsi="Times New Roman"/>
                <w:shd w:val="nil" w:color="auto" w:fill="auto"/>
                <w:rtl w:val="0"/>
                <w:lang w:val="en-US"/>
              </w:rPr>
              <w:t>11 January, 2024</w:t>
            </w:r>
          </w:p>
        </w:tc>
      </w:tr>
      <w:tr>
        <w:tblPrEx>
          <w:shd w:val="clear" w:color="auto" w:fill="cdd4e9"/>
        </w:tblPrEx>
        <w:trPr>
          <w:trHeight w:val="226" w:hRule="atLeast"/>
        </w:trPr>
        <w:tc>
          <w:tcPr>
            <w:tcW w:type="dxa" w:w="1133"/>
            <w:tcBorders>
              <w:top w:val="nil"/>
              <w:left w:val="nil"/>
              <w:bottom w:val="single" w:color="000000" w:sz="12" w:space="0" w:shadow="0" w:frame="0"/>
              <w:right w:val="nil"/>
            </w:tcBorders>
            <w:shd w:val="clear" w:color="auto" w:fill="auto"/>
            <w:tcMar>
              <w:top w:type="dxa" w:w="80"/>
              <w:left w:type="dxa" w:w="80"/>
              <w:bottom w:type="dxa" w:w="80"/>
              <w:right w:type="dxa" w:w="80"/>
            </w:tcMar>
            <w:vAlign w:val="top"/>
          </w:tcPr>
          <w:p/>
        </w:tc>
        <w:tc>
          <w:tcPr>
            <w:tcW w:type="dxa" w:w="6160"/>
            <w:vMerge w:val="continue"/>
            <w:tcBorders>
              <w:top w:val="single" w:color="000000" w:sz="12" w:space="0" w:shadow="0" w:frame="0"/>
              <w:left w:val="nil"/>
              <w:bottom w:val="nil"/>
              <w:right w:val="nil"/>
            </w:tcBorders>
            <w:shd w:val="clear" w:color="auto" w:fill="auto"/>
          </w:tcPr>
          <w:p/>
        </w:tc>
        <w:tc>
          <w:tcPr>
            <w:tcW w:type="dxa" w:w="2446"/>
            <w:tcBorders>
              <w:top w:val="nil"/>
              <w:left w:val="nil"/>
              <w:bottom w:val="single" w:color="000000" w:sz="12" w:space="0" w:shadow="0" w:frame="0"/>
              <w:right w:val="nil"/>
            </w:tcBorders>
            <w:shd w:val="clear" w:color="auto" w:fill="auto"/>
            <w:tcMar>
              <w:top w:type="dxa" w:w="80"/>
              <w:left w:type="dxa" w:w="80"/>
              <w:bottom w:type="dxa" w:w="80"/>
              <w:right w:type="dxa" w:w="80"/>
            </w:tcMar>
            <w:vAlign w:val="center"/>
          </w:tcPr>
          <w:p>
            <w:pPr>
              <w:pStyle w:val="Body"/>
              <w:jc w:val="right"/>
            </w:pPr>
            <w:r>
              <w:rPr>
                <w:rFonts w:ascii="Times New Roman" w:hAnsi="Times New Roman"/>
                <w:shd w:val="nil" w:color="auto" w:fill="auto"/>
                <w:rtl w:val="0"/>
                <w:lang w:val="en-US"/>
              </w:rPr>
              <w:t>Original: English</w:t>
            </w:r>
          </w:p>
        </w:tc>
      </w:tr>
    </w:tbl>
    <w:p>
      <w:pPr>
        <w:pStyle w:val="Body"/>
        <w:jc w:val="left"/>
        <w:rPr>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Times New Roman" w:cs="Times New Roman" w:hAnsi="Times New Roman" w:eastAsia="Times New Roman"/>
          <w:b w:val="1"/>
          <w:bCs w:val="1"/>
        </w:rPr>
      </w:pPr>
      <w:r>
        <w:rPr>
          <w:rFonts w:ascii="Times New Roman" w:cs="Times New Roman" w:hAnsi="Times New Roman" w:eastAsia="Times New Roman"/>
          <w:b w:val="1"/>
          <w:bCs w:val="1"/>
        </w:rPr>
        <w:br w:type="textWrapping"/>
      </w:r>
      <w:r>
        <w:rPr>
          <w:rFonts w:ascii="Times New Roman" w:hAnsi="Times New Roman"/>
          <w:b w:val="1"/>
          <w:bCs w:val="1"/>
          <w:rtl w:val="0"/>
          <w:lang w:val="en-US"/>
        </w:rPr>
        <w:t>Eightieth Session</w:t>
      </w:r>
    </w:p>
    <w:p>
      <w:pPr>
        <w:pStyle w:val="Body"/>
        <w:rPr>
          <w:rFonts w:ascii="Times New Roman" w:cs="Times New Roman" w:hAnsi="Times New Roman" w:eastAsia="Times New Roman"/>
          <w:b w:val="1"/>
          <w:bCs w:val="1"/>
        </w:rPr>
      </w:pPr>
      <w:r>
        <w:rPr>
          <w:rFonts w:ascii="Times New Roman" w:hAnsi="Times New Roman"/>
          <w:rtl w:val="0"/>
          <w:lang w:val="en-US"/>
        </w:rPr>
        <w:t>Agenda item XX</w:t>
      </w:r>
      <w:r>
        <w:rPr>
          <w:rFonts w:ascii="Times New Roman" w:cs="Times New Roman" w:hAnsi="Times New Roman" w:eastAsia="Times New Roman"/>
        </w:rPr>
        <w:br w:type="textWrapping"/>
      </w:r>
      <w:r>
        <w:rPr>
          <w:rFonts w:ascii="Times New Roman" w:hAnsi="Times New Roman"/>
          <w:b w:val="1"/>
          <w:bCs w:val="1"/>
          <w:rtl w:val="0"/>
          <w:lang w:val="en-US"/>
        </w:rPr>
        <w:t>General Measures for Food Security Issues Caused by Conflict</w:t>
      </w:r>
    </w:p>
    <w:p>
      <w:pPr>
        <w:pStyle w:val="Body"/>
        <w:rPr>
          <w:rFonts w:ascii="Times New Roman" w:cs="Times New Roman" w:hAnsi="Times New Roman" w:eastAsia="Times New Roman"/>
        </w:rPr>
      </w:pPr>
    </w:p>
    <w:p>
      <w:pPr>
        <w:pStyle w:val="Body"/>
        <w:ind w:firstLine="720"/>
        <w:rPr>
          <w:rFonts w:ascii="Times New Roman" w:cs="Times New Roman" w:hAnsi="Times New Roman" w:eastAsia="Times New Roman"/>
        </w:rPr>
      </w:pPr>
      <w:r>
        <w:rPr>
          <w:rFonts w:ascii="Times New Roman" w:hAnsi="Times New Roman"/>
          <w:rtl w:val="0"/>
          <w:lang w:val="en-US"/>
        </w:rPr>
        <w:t>Sponsors:</w:t>
      </w:r>
      <w:r>
        <w:rPr>
          <w:rFonts w:ascii="Times New Roman" w:hAnsi="Times New Roman"/>
          <w:rtl w:val="0"/>
          <w:lang w:val="en-US"/>
        </w:rPr>
        <w:t xml:space="preserve"> Poland, South Sudan</w:t>
      </w:r>
    </w:p>
    <w:p>
      <w:pPr>
        <w:pStyle w:val="Body"/>
        <w:ind w:firstLine="720"/>
        <w:rPr>
          <w:rFonts w:ascii="Times New Roman" w:cs="Times New Roman" w:hAnsi="Times New Roman" w:eastAsia="Times New Roman"/>
        </w:rPr>
      </w:pPr>
    </w:p>
    <w:p>
      <w:pPr>
        <w:pStyle w:val="Body"/>
        <w:ind w:firstLine="720"/>
        <w:rPr>
          <w:rFonts w:ascii="Times New Roman" w:cs="Times New Roman" w:hAnsi="Times New Roman" w:eastAsia="Times New Roman"/>
          <w:sz w:val="20"/>
          <w:szCs w:val="20"/>
        </w:rPr>
      </w:pPr>
      <w:r>
        <w:rPr>
          <w:rFonts w:ascii="Times New Roman" w:hAnsi="Times New Roman"/>
          <w:sz w:val="20"/>
          <w:szCs w:val="20"/>
          <w:rtl w:val="0"/>
          <w:lang w:val="en-US"/>
        </w:rPr>
        <w:t>The general assembly</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Emphasizing the purposes and principles of the Charter of the United Nations, reaffirming full respect for the sovereignty and territorial integrity of all States,</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Recalling the Geneva Conventions of 1949 and their Additional Protocols as well is International Humanitarian Law (IHL), and emphasizing that the starvation of civilians as a method of warfare may constitute a war crime under international law,</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Recalling relevant Security Council resolutions and statements on the protection of civilians and humanitarian personnel, including the condemnation of conflict-induced food insecurity and the weaponization of hunger,</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Recognizing that armed conflict drives food insecurity through displacement, destruction of agricultural assets, disruption of markets and supply chains, and obstruction of humanitarian relief, with disproportionate impacts on women, children, older persons, and persons with disabilities,</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Recognizing that food aid transportation is vital to ensuring food security, and that various measures must be implemented,</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Recognizing the essential roles of the World Food Programme (WFP), Food and Agriculture Organization of the United Nations (FAO), World Health Organization (WHO), United Nations Educational, Scientific and Cultural Organization (UNESCO), United Nations High Commissioner for Refugees (UNHCR), and the International Fund for Agricultural Development (IFAD) in addressing conflict-related hunger across all dimensions of food security,</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Deeply concerned that attacks on farms, food stocks, storage facilities, ports, roads, railways, and humanitarian convoys undermine civilian survival and regional stability, including through landmines and explosive remnants of war contaminating arable land,</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Alarmed by the vulnerability of maritime chokepoints, ports, and international trade corridors to disruption during crises, and affirming the importance of safe, secure, and predictable sea lanes for commercial and humanitarian food shipments in accordance with international law,</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Recognizing that refugees, internally displaced persons, and host communities require not only reliable food assistance but also safe access to livelihoods and markets to preserve dignity and reduce dependency,</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Emphasizing the importance of a phased transition from emergency relief to recovery and development, including market-based assistance where feasible and long-term rebuilding of local food systems,</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Recognizing that climate change and environmental stressors, including droughts and water scarcity, compound conflict risks and necessitate climate-resilient agriculture and water infrastructure,</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Recognizing that open, rules-based, non-discriminatory and equitable trade under the World Trade Organization supports both exporting and import-dependent States, and that abrupt export restrictions amplify volatility and price spikes,</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Noting the value of early warning, transparent data-sharing, and market-function assessments to enable anticipatory action and prevent crises from escalating into famine, while respecting national data sovereignty and commercial confidentiality,</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Deeply concerned by humanitarian financing shortfalls and abrupt funding withdrawals that erode the capacity of the WFP and partners to sustain life-saving operations and to plan multi-year resilience investments,</w:t>
      </w:r>
    </w:p>
    <w:p>
      <w:pPr>
        <w:pStyle w:val="Default"/>
        <w:suppressAutoHyphens w:val="1"/>
        <w:spacing w:before="0" w:after="53" w:line="240" w:lineRule="auto"/>
        <w:ind w:left="373" w:hanging="373"/>
        <w:rPr>
          <w:rFonts w:ascii="Times New Roman" w:cs="Times New Roman" w:hAnsi="Times New Roman" w:eastAsia="Times New Roman"/>
          <w:i w:val="0"/>
          <w:iCs w:val="0"/>
          <w:sz w:val="20"/>
          <w:szCs w:val="20"/>
        </w:rPr>
      </w:pPr>
      <w:r>
        <w:rPr>
          <w:rFonts w:ascii="Times New Roman" w:hAnsi="Times New Roman"/>
          <w:i w:val="1"/>
          <w:iCs w:val="1"/>
          <w:sz w:val="20"/>
          <w:szCs w:val="20"/>
          <w:rtl w:val="0"/>
          <w:lang w:val="en-US"/>
        </w:rPr>
        <w:t>Affirming that food security is integral to international peace, economic stability, and human development, and that collective action must remain feasible, implementable, and within the mandate of the General Assembly;</w:t>
      </w:r>
    </w:p>
    <w:p>
      <w:pPr>
        <w:pStyle w:val="Default"/>
        <w:numPr>
          <w:ilvl w:val="0"/>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Recommends the strict, strengthened implementation of relevant international humanitarian law and existing United Nations commitments on conflict-related food insecurity, and in particular urges all parties to armed conflict to allow and facilitate safe, sustained, predictable, and unimpeded humanitarian access for food and relief supplies, while supporting accountability for violations, including through:</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i w:val="1"/>
          <w:iCs w:val="1"/>
          <w:sz w:val="20"/>
          <w:szCs w:val="20"/>
          <w:rtl w:val="0"/>
        </w:rPr>
        <w:t> </w:t>
      </w:r>
      <w:r>
        <w:rPr>
          <w:rFonts w:ascii="Times New Roman" w:hAnsi="Times New Roman"/>
          <w:sz w:val="20"/>
          <w:szCs w:val="20"/>
          <w:rtl w:val="0"/>
          <w:lang w:val="en-US"/>
        </w:rPr>
        <w:t>condemning deliberate attacks on food systems, agricultural infrastructure, and humanitarian food assistance, and recognizing the weaponization of hunger as unlawful;</w:t>
      </w:r>
    </w:p>
    <w:p>
      <w:pPr>
        <w:pStyle w:val="Default"/>
        <w:numPr>
          <w:ilvl w:val="1"/>
          <w:numId w:val="2"/>
        </w:numPr>
        <w:suppressAutoHyphens w:val="1"/>
        <w:spacing w:before="0" w:line="240" w:lineRule="auto"/>
        <w:jc w:val="left"/>
        <w:rPr>
          <w:rFonts w:ascii="Times New Roman" w:hAnsi="Times New Roman"/>
          <w:sz w:val="20"/>
          <w:szCs w:val="20"/>
          <w:lang w:val="en-US"/>
        </w:rPr>
      </w:pPr>
      <w:r>
        <w:rPr>
          <w:rFonts w:ascii="Times New Roman" w:hAnsi="Times New Roman"/>
          <w:sz w:val="20"/>
          <w:szCs w:val="20"/>
          <w:rtl w:val="0"/>
          <w:lang w:val="en-US"/>
        </w:rPr>
        <w:t>requesting timely, evidence-based reporting and investigation of alleged violations through existing UN reporting mechanisms, with the option of establishing an ad hoc, time-bound observer panel supported by FAO technical expertise upon request by affected States;</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(c) encouraging humanitarian deconfliction mechanisms to prevent attacks on aid workers and convoys, and deploring attacks by armed non-State actors on humanitarian personnel;</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(d) encouraging Member States to ensure that their national policies and, where applicable, military doctrines incorporate food-security impact assessments to minimize harm to civilian food systems, consistent with international law.</w:t>
      </w:r>
    </w:p>
    <w:p>
      <w:pPr>
        <w:pStyle w:val="Default"/>
        <w:numPr>
          <w:ilvl w:val="0"/>
          <w:numId w:val="3"/>
        </w:numPr>
        <w:suppressAutoHyphens w:val="1"/>
        <w:spacing w:before="0" w:line="240" w:lineRule="auto"/>
        <w:jc w:val="left"/>
        <w:rPr>
          <w:rFonts w:ascii="Times New Roman" w:hAnsi="Times New Roman"/>
          <w:sz w:val="20"/>
          <w:szCs w:val="20"/>
          <w:lang w:val="en-US"/>
        </w:rPr>
      </w:pPr>
      <w:r>
        <w:rPr>
          <w:rFonts w:ascii="Times New Roman" w:hAnsi="Times New Roman"/>
          <w:sz w:val="20"/>
          <w:szCs w:val="20"/>
          <w:rtl w:val="0"/>
          <w:lang w:val="en-US"/>
        </w:rPr>
        <w:t>2. Requests Member States, upon request of the affected State and in cooperation with its national authorities, to establish humanitarian food corridors and streamlined border-clearance procedures for humanitarian and commercial food shipments during emergencies, under the monitoring and coordination of the WFP and relevant UN partners, and to diversify aid modalities to sustain reach, including:</w:t>
      </w:r>
    </w:p>
    <w:p>
      <w:pPr>
        <w:pStyle w:val="Default"/>
        <w:numPr>
          <w:ilvl w:val="1"/>
          <w:numId w:val="2"/>
        </w:numPr>
        <w:suppressAutoHyphens w:val="1"/>
        <w:spacing w:before="0" w:line="240" w:lineRule="auto"/>
        <w:jc w:val="left"/>
        <w:rPr>
          <w:rFonts w:ascii="Times New Roman" w:hAnsi="Times New Roman"/>
          <w:sz w:val="20"/>
          <w:szCs w:val="20"/>
          <w:lang w:val="en-US"/>
        </w:rPr>
      </w:pPr>
      <w:r>
        <w:rPr>
          <w:rFonts w:ascii="Times New Roman" w:hAnsi="Times New Roman"/>
          <w:sz w:val="20"/>
          <w:szCs w:val="20"/>
          <w:rtl w:val="0"/>
          <w:lang w:val="en-US"/>
        </w:rPr>
        <w:t>a. cross-border and cross-line delivery options, local and regional procurement where markets function, and pre-negotiated safe-passage arrangements;</w:t>
      </w:r>
    </w:p>
    <w:p>
      <w:pPr>
        <w:pStyle w:val="Default"/>
        <w:numPr>
          <w:ilvl w:val="1"/>
          <w:numId w:val="2"/>
        </w:numPr>
        <w:suppressAutoHyphens w:val="1"/>
        <w:spacing w:before="0" w:line="240" w:lineRule="auto"/>
        <w:jc w:val="left"/>
        <w:rPr>
          <w:rFonts w:ascii="Times New Roman" w:hAnsi="Times New Roman"/>
          <w:sz w:val="20"/>
          <w:szCs w:val="20"/>
          <w:lang w:val="en-US"/>
        </w:rPr>
      </w:pPr>
      <w:r>
        <w:rPr>
          <w:rFonts w:ascii="Times New Roman" w:hAnsi="Times New Roman"/>
          <w:sz w:val="20"/>
          <w:szCs w:val="20"/>
          <w:rtl w:val="0"/>
          <w:lang w:val="en-US"/>
        </w:rPr>
        <w:t>b. diversified assistance modalities including general food distributions, food vouchers, and cash transfers, tailored to context and nutrition needs;</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c. secure tracking, anti-diversion safeguards, and transparent coordination with vetted humanitarian organizations to protect impartiality and effectiveness.</w:t>
      </w:r>
    </w:p>
    <w:p>
      <w:pPr>
        <w:pStyle w:val="Default"/>
        <w:numPr>
          <w:ilvl w:val="0"/>
          <w:numId w:val="4"/>
        </w:numPr>
        <w:suppressAutoHyphens w:val="1"/>
        <w:spacing w:before="0" w:line="240" w:lineRule="auto"/>
        <w:jc w:val="left"/>
        <w:rPr>
          <w:rFonts w:ascii="Times New Roman" w:hAnsi="Times New Roman"/>
          <w:sz w:val="20"/>
          <w:szCs w:val="20"/>
          <w:lang w:val="en-US"/>
        </w:rPr>
      </w:pPr>
      <w:r>
        <w:rPr>
          <w:rFonts w:ascii="Times New Roman" w:hAnsi="Times New Roman"/>
          <w:sz w:val="20"/>
          <w:szCs w:val="20"/>
          <w:rtl w:val="0"/>
          <w:lang w:val="en-US"/>
        </w:rPr>
        <w:t>3. Calls upon Member States to safeguard sea lanes, ports, canals, and maritime trade routes essential for food, fuel, fertilizer, and humanitarian shipments, in accordance with international law including the United Nations Convention on the Law of the Sea (UNCLOS), and encourages the designation of voluntary 'Blue Safe Zones' to prioritize humanitarian cargo, while preventing militarization or politicization of food transit, including:</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a. enhanced information-sharing and early-warning coordination among coastal, trading, and flag States on threats to food shipments;</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b. coordinated civilian maritime security and port-safety measures under national authority, avoiding unilateral escalation;</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c. affirming that no State shall exercise control over maritime routes beyond its rights under international law, and reaffirming freedom of navigation and innocent passage for food-related cargo consistent with UNCLOS;</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d. encouraging diversification of routes and logistics nodes to reduce single-corridor dependence during crises.</w:t>
      </w:r>
    </w:p>
    <w:p>
      <w:pPr>
        <w:pStyle w:val="Default"/>
        <w:numPr>
          <w:ilvl w:val="0"/>
          <w:numId w:val="5"/>
        </w:numPr>
        <w:suppressAutoHyphens w:val="1"/>
        <w:spacing w:before="0" w:line="240" w:lineRule="auto"/>
        <w:jc w:val="left"/>
        <w:rPr>
          <w:rFonts w:ascii="Times New Roman" w:hAnsi="Times New Roman"/>
          <w:sz w:val="20"/>
          <w:szCs w:val="20"/>
          <w:lang w:val="en-US"/>
        </w:rPr>
      </w:pPr>
      <w:r>
        <w:rPr>
          <w:rFonts w:ascii="Times New Roman" w:hAnsi="Times New Roman"/>
          <w:sz w:val="20"/>
          <w:szCs w:val="20"/>
          <w:rtl w:val="0"/>
          <w:lang w:val="en-US"/>
        </w:rPr>
        <w:t>4. Emphasizes support for refugees, internally displaced persons (IDPs), and host communities to maintain access to adequate food during protracted crises, by combining protection, dignified assistance, and livelihood pathways, including:</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a. expanding cash-based food assistance systems (including electronic vouchers) where markets are functional, with WFP market verification in transition settings;</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b. supporting job opportunities and safe livelihood programs, including agricultural and food-system employment consistent with national law and protection standards;</w:t>
      </w:r>
    </w:p>
    <w:p>
      <w:pPr>
        <w:pStyle w:val="Default"/>
        <w:numPr>
          <w:ilvl w:val="1"/>
          <w:numId w:val="2"/>
        </w:numPr>
        <w:suppressAutoHyphens w:val="1"/>
        <w:spacing w:before="0"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c. strengthening burden-sharing for refugee-hosting and transit countries through predictable financing and technical support;</w:t>
      </w:r>
    </w:p>
    <w:p>
      <w:pPr>
        <w:pStyle w:val="Default"/>
        <w:numPr>
          <w:ilvl w:val="1"/>
          <w:numId w:val="2"/>
        </w:numPr>
        <w:suppressAutoHyphens w:val="1"/>
        <w:spacing w:before="0" w:after="27" w:line="240" w:lineRule="auto"/>
        <w:jc w:val="left"/>
        <w:rPr>
          <w:rFonts w:ascii="Times New Roman" w:hAnsi="Times New Roman" w:hint="default"/>
          <w:sz w:val="20"/>
          <w:szCs w:val="20"/>
        </w:rPr>
      </w:pPr>
      <w:r>
        <w:rPr>
          <w:rFonts w:ascii="Times New Roman" w:hAnsi="Times New Roman" w:hint="default"/>
          <w:sz w:val="20"/>
          <w:szCs w:val="20"/>
          <w:rtl w:val="0"/>
        </w:rPr>
        <w:t>   </w:t>
      </w:r>
      <w:r>
        <w:rPr>
          <w:rFonts w:ascii="Times New Roman" w:hAnsi="Times New Roman"/>
          <w:sz w:val="20"/>
          <w:szCs w:val="20"/>
          <w:rtl w:val="0"/>
          <w:lang w:val="en-US"/>
        </w:rPr>
        <w:t>d. requesting UNHCR-WFP coordination guidance on food distribution in camps and settlements, including minimum standards for safety and nutrition.</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5. Calls for integrated emergency nutrition and public-health measures in conflict emergencies to prevent life-threatening malnutrition, especially among women, children, infants, and other vulnerable groups, including:</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a. therapeutic feeding for severe acute malnutrition, micronutrient supplementation, and support for breastfeeding and infant nutrition;</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support for the WHO Baby-Friendly Hospital Initiative in humanitarian and emergency health facilities;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the development of nutritional guidelines for school and community-based feeding programs, including emergency preparedness provisions;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d. strengthening and expanding school feeding programs (including home-grown models where feasible) as preventive nutrition safety nets during shocks;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e. calling upon Member States to align national food safety standards with Codex Alimentarius standards to facilitate safe cross-border movement of food during emergencies;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f. promoting clear and understandable food labeling, particularly for products commonly distributed through emergency assistance and disrupted supply chains, to enable informed and safe consumption.</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6. Encourages Member States to stabilize food affordability and market functioning during conflict-related shocks while preserving an open, predictable, rules-based trading environment, including:</w:t>
      </w:r>
    </w:p>
    <w:p>
      <w:pPr>
        <w:pStyle w:val="Default"/>
        <w:suppressAutoHyphens w:val="1"/>
        <w:spacing w:before="0" w:after="80" w:line="240" w:lineRule="auto"/>
        <w:ind w:left="960" w:hanging="960"/>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a. refraining from imposing export prohibitions or restrictions on essential food products and agricultural inputs except under extraordinary circumstances, and implementing the WTO decision exempting WFP food purchases from export restrictions;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supporting carefully targeted economic measures, such as strategic grain releases, time-bound subsidies or cash transfers for the poorest, and price-monitoring systems to prevent exploitative practices;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encouraging surplus-holding countries to communicate and, where appropriate, responsibly release stocks to reduce extreme volatility, consistent with domestic needs and transparency;</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d. encouraging the gradual expansion, where appropriate and nationally determined, of rights-based food distribution safety nets (e.g., public distribution systems) and farmer-support measures (e.g., minimum support pricing) to protect supply continuity.</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7. Urges the development or strengthening of preparedness measures, including national and regional emergency food reserves and decentralized pre-positioning, to reduce delays and logistical bottlenecks during crises, including:</w:t>
      </w:r>
    </w:p>
    <w:p>
      <w:pPr>
        <w:pStyle w:val="Default"/>
        <w:suppressAutoHyphens w:val="1"/>
        <w:spacing w:before="0" w:after="80" w:line="240" w:lineRule="auto"/>
        <w:ind w:left="720" w:hanging="720"/>
        <w:rPr>
          <w:rFonts w:ascii="Times New Roman" w:cs="Times New Roman" w:hAnsi="Times New Roman" w:eastAsia="Times New Roman"/>
          <w:sz w:val="20"/>
          <w:szCs w:val="20"/>
        </w:rPr>
      </w:pPr>
      <w:r>
        <w:rPr>
          <w:rFonts w:ascii="Times New Roman" w:hAnsi="Times New Roman" w:hint="default"/>
          <w:i w:val="1"/>
          <w:iCs w:val="1"/>
          <w:sz w:val="20"/>
          <w:szCs w:val="20"/>
          <w:rtl w:val="0"/>
        </w:rPr>
        <w:t>  </w:t>
      </w:r>
      <w:r>
        <w:rPr>
          <w:rFonts w:ascii="Times New Roman" w:hAnsi="Times New Roman" w:hint="default"/>
          <w:sz w:val="20"/>
          <w:szCs w:val="20"/>
          <w:rtl w:val="0"/>
        </w:rPr>
        <w:t>   </w:t>
      </w:r>
      <w:r>
        <w:rPr>
          <w:rFonts w:ascii="Times New Roman" w:hAnsi="Times New Roman"/>
          <w:sz w:val="20"/>
          <w:szCs w:val="20"/>
          <w:rtl w:val="0"/>
          <w:lang w:val="en-US"/>
        </w:rPr>
        <w:t>a. national emergency food reserves coordinated, where requested, with FAO and WFP guidance;</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sz w:val="20"/>
          <w:szCs w:val="20"/>
          <w:rtl w:val="0"/>
          <w:lang w:val="en-US"/>
        </w:rPr>
        <w:t xml:space="preserve">b. WFP-maintained small regional reserves in hard-to-access areas to mitigate transport disruptions, with </w:t>
      </w:r>
      <w:r>
        <w:rPr>
          <w:rFonts w:ascii="Times New Roman" w:hAnsi="Times New Roman" w:hint="default"/>
          <w:sz w:val="20"/>
          <w:szCs w:val="20"/>
          <w:rtl w:val="0"/>
        </w:rPr>
        <w:t xml:space="preserve">    </w:t>
      </w:r>
      <w:r>
        <w:rPr>
          <w:rFonts w:ascii="Times New Roman" w:hAnsi="Times New Roman"/>
          <w:sz w:val="20"/>
          <w:szCs w:val="20"/>
          <w:rtl w:val="0"/>
          <w:lang w:val="en-US"/>
        </w:rPr>
        <w:t>priority for ready-to-eat meals and nutritionally appropriate commodities;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sz w:val="20"/>
          <w:szCs w:val="20"/>
          <w:rtl w:val="0"/>
          <w:lang w:val="en-US"/>
        </w:rPr>
        <w:t>c. a phased transition plan linking reserve use to recovery benchmarks to avoid distorting local markets in the medium term.</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8. Recommends strengthening anticipatory action and early-warning mechanisms to enable preventative responses rather than solely reactive interventions, by integrating existing tools and assessments, including:</w:t>
      </w:r>
    </w:p>
    <w:p>
      <w:pPr>
        <w:pStyle w:val="Default"/>
        <w:suppressAutoHyphens w:val="1"/>
        <w:spacing w:before="0" w:after="80" w:line="240" w:lineRule="auto"/>
        <w:ind w:left="720" w:hanging="720"/>
        <w:rPr>
          <w:rFonts w:ascii="Times New Roman" w:cs="Times New Roman" w:hAnsi="Times New Roman" w:eastAsia="Times New Roman"/>
          <w:sz w:val="20"/>
          <w:szCs w:val="20"/>
        </w:rPr>
      </w:pPr>
      <w:r>
        <w:rPr>
          <w:rFonts w:ascii="Times New Roman" w:hAnsi="Times New Roman" w:hint="default"/>
          <w:i w:val="1"/>
          <w:iCs w:val="1"/>
          <w:sz w:val="20"/>
          <w:szCs w:val="20"/>
          <w:rtl w:val="0"/>
        </w:rPr>
        <w:t>   </w:t>
      </w:r>
      <w:r>
        <w:rPr>
          <w:rFonts w:ascii="Times New Roman" w:hAnsi="Times New Roman" w:hint="default"/>
          <w:sz w:val="20"/>
          <w:szCs w:val="20"/>
          <w:rtl w:val="0"/>
        </w:rPr>
        <w:t>       </w:t>
      </w:r>
      <w:r>
        <w:rPr>
          <w:rFonts w:ascii="Times New Roman" w:hAnsi="Times New Roman"/>
          <w:sz w:val="20"/>
          <w:szCs w:val="20"/>
          <w:rtl w:val="0"/>
          <w:lang w:val="en-US"/>
        </w:rPr>
        <w:t>a. clear anticipatory action thresholds based on food security and nutrition indicators to trigger timely pre-crisis financing and pre-positioning;</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WFP market functionality assessments, market price monitoring, and mapping tools prior to large-scale cash disbursements to avoid localized inflation;</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strengthening the Agricultural Market Information System (AMIS) and its Rapid Response Forum to improve coordination among governments, international organizations, private sector and civil society.</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9. Calls for improved transparency and trustworthy data-sharing to strengthen confidence in global food markets and to support humanitarian planning, while respecting sovereignty and confidentiality, including:</w:t>
      </w:r>
    </w:p>
    <w:p>
      <w:pPr>
        <w:pStyle w:val="Default"/>
        <w:suppressAutoHyphens w:val="1"/>
        <w:spacing w:before="0" w:after="80" w:line="240" w:lineRule="auto"/>
        <w:ind w:left="720" w:hanging="720"/>
        <w:rPr>
          <w:rFonts w:ascii="Times New Roman" w:cs="Times New Roman" w:hAnsi="Times New Roman" w:eastAsia="Times New Roman"/>
          <w:sz w:val="20"/>
          <w:szCs w:val="20"/>
        </w:rPr>
      </w:pPr>
      <w:r>
        <w:rPr>
          <w:rFonts w:ascii="Times New Roman" w:hAnsi="Times New Roman" w:hint="default"/>
          <w:i w:val="1"/>
          <w:iCs w:val="1"/>
          <w:sz w:val="20"/>
          <w:szCs w:val="20"/>
          <w:rtl w:val="0"/>
        </w:rPr>
        <w:t>  </w:t>
      </w:r>
      <w:r>
        <w:rPr>
          <w:rFonts w:ascii="Times New Roman" w:hAnsi="Times New Roman" w:hint="default"/>
          <w:sz w:val="20"/>
          <w:szCs w:val="20"/>
          <w:rtl w:val="0"/>
        </w:rPr>
        <w:t>       </w:t>
      </w:r>
      <w:r>
        <w:rPr>
          <w:rFonts w:ascii="Times New Roman" w:hAnsi="Times New Roman"/>
          <w:sz w:val="20"/>
          <w:szCs w:val="20"/>
          <w:rtl w:val="0"/>
          <w:lang w:val="en-US"/>
        </w:rPr>
        <w:t>a. establishing a neutral UN-monitored digital platform for voluntary reporting of grain reserves, harvest forecasts, and dependency indicators, with standardized metrics and protocols to protect sensitive information;</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enhancing electronic exchange of necessary certificates for trade and humanitarian shipments, and utilizing relevant dashboards to visualize real-time grain trade flows;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encouraging Member States and partners to counter misinformation and ensure accurate public information on food availability and assistance;</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d. inviting States receiving dedicated agricultural financing to provide voluntary, transparent use-of-funds reports to IFAD to strengthen accountability and learning.</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10. Encourages the establishment of coordinated, non-duplicative mechanisms to strengthen global food availability during emergencies while complementing local markets, including:</w:t>
      </w:r>
    </w:p>
    <w:p>
      <w:pPr>
        <w:pStyle w:val="Default"/>
        <w:suppressAutoHyphens w:val="1"/>
        <w:spacing w:before="0" w:after="80" w:line="240" w:lineRule="auto"/>
        <w:ind w:left="720" w:hanging="720"/>
        <w:rPr>
          <w:rFonts w:ascii="Times New Roman" w:cs="Times New Roman" w:hAnsi="Times New Roman" w:eastAsia="Times New Roman"/>
          <w:sz w:val="20"/>
          <w:szCs w:val="20"/>
        </w:rPr>
      </w:pPr>
      <w:r>
        <w:rPr>
          <w:rFonts w:ascii="Times New Roman" w:hAnsi="Times New Roman" w:hint="default"/>
          <w:i w:val="1"/>
          <w:iCs w:val="1"/>
          <w:sz w:val="20"/>
          <w:szCs w:val="20"/>
          <w:rtl w:val="0"/>
        </w:rPr>
        <w:t>   </w:t>
      </w:r>
      <w:r>
        <w:rPr>
          <w:rFonts w:ascii="Times New Roman" w:hAnsi="Times New Roman" w:hint="default"/>
          <w:sz w:val="20"/>
          <w:szCs w:val="20"/>
          <w:rtl w:val="0"/>
        </w:rPr>
        <w:t>   </w:t>
      </w:r>
      <w:r>
        <w:rPr>
          <w:rFonts w:ascii="Times New Roman" w:hAnsi="Times New Roman"/>
          <w:sz w:val="20"/>
          <w:szCs w:val="20"/>
          <w:rtl w:val="0"/>
          <w:lang w:val="en-US"/>
        </w:rPr>
        <w:t>a. exploring a Standing Global Food Surplus Bank administered by FAO in operational coordination with WFP, relying on decentralized regional stockpiles near high-risk regions;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sz w:val="20"/>
          <w:szCs w:val="20"/>
          <w:rtl w:val="0"/>
          <w:lang w:val="en-US"/>
        </w:rPr>
        <w:t>b. prioritizing rapid, short-term emergency relief while supporting a transition to local production and market-based recovery;</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sz w:val="20"/>
          <w:szCs w:val="20"/>
          <w:rtl w:val="0"/>
          <w:lang w:val="en-US"/>
        </w:rPr>
        <w:t>c. ensuring that contributions are voluntary and that operations use existing WFP logistics and procurement systems to avoid administrative duplication.</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11. Calls for the sharing, upon request and in accordance with national priorities, of climate-resilient agricultural, water, and digital technologies to reduce vulnerability to conflict- and climate-driven shocks, including:</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(a) advanced irrigation, water storage, and water-efficient farming technologies adapted to local ecological conditions, including models informed by successful national frameworks;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drought-resistant seeds, climate-smart agriculture practices, satellite and digital monitoring tools, and capacity-building for their use;</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support for FAO digital agriculture centers of excellence and predictive crop modeling tools, with voluntary cross-border sharing of non-sensitive climate and agricultural indicators;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(d) multi-year investment approaches for resilience through existing finance mechanisms and development partners.</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12. Supports post-conflict agricultural recovery and long-term self-sufficiency by strengthening local production, infrastructure, education, and smallholder livelihoods, including:</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(a) investing in rehabilitating and strengthening food-related infrastructure damaged by conflict, including irrigation systems, roads, storage facilities, cold chains, markets, and rural electrification, with resilience to future shocks;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providing seeds, tools, livestock, training, and microfinance to rebuild farmers</w:t>
      </w:r>
      <w:r>
        <w:rPr>
          <w:rFonts w:ascii="Times New Roman" w:hAnsi="Times New Roman" w:hint="default"/>
          <w:sz w:val="20"/>
          <w:szCs w:val="20"/>
          <w:rtl w:val="1"/>
        </w:rPr>
        <w:t xml:space="preserve">’ </w:t>
      </w:r>
      <w:r>
        <w:rPr>
          <w:rFonts w:ascii="Times New Roman" w:hAnsi="Times New Roman"/>
          <w:sz w:val="20"/>
          <w:szCs w:val="20"/>
          <w:rtl w:val="0"/>
          <w:lang w:val="en-US"/>
        </w:rPr>
        <w:t>capacities, diversify rural economies, and safely bring products to markets;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supporting the productive use of unused or underutilized farmland where safe and appropriate, and promoting locally suitable climate-resistant crops;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(d) requesting WFP and partners to coordinate lists of agricultural material needs and transparent distribution plans, consistent with national ownership;</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(e) supporting cooperative resource-sharing among neighboring States, particularly regarding water, energy, and land critical for cultivation;</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(f) encouraging Member States, WFP and FAO to expand education and job-training opportunities in agriculture and nutrition, and requesting UNESCO to develop voluntary curriculum guidelines for agriculture and food-security education;</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(g) recommending, where appropriate, government-operated transport systems and rural aggregation routes (including cold-chain solutions), supported by technical assistance from capable States and development partners, including the World Bank.</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13. Encourages measures to strengthen the availability of agricultural inputs and reduce dependency on disrupted imports, including sustainable fertilizer alternatives, by:</w:t>
      </w:r>
    </w:p>
    <w:p>
      <w:pPr>
        <w:pStyle w:val="Default"/>
        <w:suppressAutoHyphens w:val="1"/>
        <w:spacing w:before="0" w:after="80" w:line="240" w:lineRule="auto"/>
        <w:ind w:left="720" w:hanging="720"/>
        <w:rPr>
          <w:rFonts w:ascii="Times New Roman" w:cs="Times New Roman" w:hAnsi="Times New Roman" w:eastAsia="Times New Roman"/>
          <w:sz w:val="20"/>
          <w:szCs w:val="20"/>
        </w:rPr>
      </w:pPr>
      <w:r>
        <w:rPr>
          <w:rFonts w:ascii="Times New Roman" w:hAnsi="Times New Roman" w:hint="default"/>
          <w:i w:val="1"/>
          <w:iCs w:val="1"/>
          <w:sz w:val="20"/>
          <w:szCs w:val="20"/>
          <w:rtl w:val="0"/>
        </w:rPr>
        <w:t>  </w:t>
      </w:r>
      <w:r>
        <w:rPr>
          <w:rFonts w:ascii="Times New Roman" w:hAnsi="Times New Roman" w:hint="default"/>
          <w:sz w:val="20"/>
          <w:szCs w:val="20"/>
          <w:rtl w:val="0"/>
        </w:rPr>
        <w:t>   </w:t>
      </w:r>
      <w:r>
        <w:rPr>
          <w:rFonts w:ascii="Times New Roman" w:hAnsi="Times New Roman"/>
          <w:sz w:val="20"/>
          <w:szCs w:val="20"/>
          <w:rtl w:val="0"/>
          <w:lang w:val="en-US"/>
        </w:rPr>
        <w:t>(a) supporting voluntary cooperation to produce fertilizers from safely treated human and food waste, consistent with public health and environmental standards;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supporting temporary input donations as bridges toward localized production capacity, including through training and appropriate technology transfer;</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encouraging research and development partnerships, through FAO, IFAD and other mechanisms, to improve domestic production systems and input efficiency.</w:t>
      </w:r>
    </w:p>
    <w:p>
      <w:pPr>
        <w:pStyle w:val="Default"/>
        <w:suppressAutoHyphens w:val="1"/>
        <w:spacing w:before="0" w:after="53" w:line="240" w:lineRule="auto"/>
        <w:ind w:left="373" w:hanging="373"/>
        <w:rPr>
          <w:rFonts w:ascii="Times New Roman" w:cs="Times New Roman" w:hAnsi="Times New Roman" w:eastAsia="Times New Roman"/>
          <w:sz w:val="20"/>
          <w:szCs w:val="20"/>
        </w:rPr>
      </w:pPr>
      <w:r>
        <w:rPr>
          <w:rFonts w:ascii="Times New Roman" w:hAnsi="Times New Roman"/>
          <w:sz w:val="20"/>
          <w:szCs w:val="20"/>
          <w:rtl w:val="0"/>
          <w:lang w:val="en-US"/>
        </w:rPr>
        <w:t>14. Calls upon capable Member States and relevant stakeholders to address financing constraints and improve the predictability of assistance while promoting localization and partnership, including by:</w:t>
      </w:r>
    </w:p>
    <w:p>
      <w:pPr>
        <w:pStyle w:val="Default"/>
        <w:suppressAutoHyphens w:val="1"/>
        <w:spacing w:before="0" w:after="80" w:line="240" w:lineRule="auto"/>
        <w:ind w:left="720" w:hanging="720"/>
        <w:rPr>
          <w:rFonts w:ascii="Times New Roman" w:cs="Times New Roman" w:hAnsi="Times New Roman" w:eastAsia="Times New Roman"/>
          <w:sz w:val="20"/>
          <w:szCs w:val="20"/>
        </w:rPr>
      </w:pPr>
      <w:r>
        <w:rPr>
          <w:rFonts w:ascii="Times New Roman" w:hAnsi="Times New Roman" w:hint="default"/>
          <w:i w:val="1"/>
          <w:iCs w:val="1"/>
          <w:sz w:val="20"/>
          <w:szCs w:val="20"/>
          <w:rtl w:val="0"/>
        </w:rPr>
        <w:t>  </w:t>
      </w:r>
      <w:r>
        <w:rPr>
          <w:rFonts w:ascii="Times New Roman" w:hAnsi="Times New Roman" w:hint="default"/>
          <w:sz w:val="20"/>
          <w:szCs w:val="20"/>
          <w:rtl w:val="0"/>
        </w:rPr>
        <w:t>   </w:t>
      </w:r>
      <w:r>
        <w:rPr>
          <w:rFonts w:ascii="Times New Roman" w:hAnsi="Times New Roman"/>
          <w:sz w:val="20"/>
          <w:szCs w:val="20"/>
          <w:rtl w:val="0"/>
          <w:lang w:val="en-US"/>
        </w:rPr>
        <w:t>(a) encouraging major donors to provide clear, multi-year funding roadmaps for humanitarian and resilience programming to reduce operational volatility;</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(b) expanding matching-fund approaches and in-kind contributions that can be paired with cash support to maximize impact;</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(c) supporting responsible public-private partnerships to strengthen logistics, warehousing, and local procurement capacity, and to improve supply-chain resilience;</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(d) encouraging debt-for-development swaps and other voluntary, mutually agreed instruments that redirect fiscal space toward food security, health and education projects;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(e) encouraging, where appropriate, improved access to liquidity support for countries facing food and fuel shocks, including voluntary re-channeling arrangements through existing international financial mechanisms;</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(f) stressing that international economic measures, including sanctions regimes, should be designed and implemented so as not to impede humanitarian food assistance and essential agricultural inputs, consistent with international law;</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hint="default"/>
          <w:sz w:val="20"/>
          <w:szCs w:val="20"/>
          <w:rtl w:val="0"/>
        </w:rPr>
        <w:t>   </w:t>
      </w:r>
      <w:r>
        <w:rPr>
          <w:rFonts w:ascii="Times New Roman" w:hAnsi="Times New Roman"/>
          <w:sz w:val="20"/>
          <w:szCs w:val="20"/>
          <w:rtl w:val="0"/>
          <w:lang w:val="en-US"/>
        </w:rPr>
        <w:t>(g) encouraging regional and multilateral cooperation, including within the European Union, African Union, ASEAN and other frameworks, to strengthen cross-border food security coordination and burden-sharing;</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cs="Times New Roman" w:hAnsi="Times New Roman" w:eastAsia="Times New Roman"/>
          <w:sz w:val="20"/>
          <w:szCs w:val="20"/>
          <w:rtl w:val="0"/>
        </w:rPr>
        <w:tab/>
        <w:t>(h) increasing funding for WFP, FAO and other relevant international organizations needed to achieve all policies listed in this resolution,;</w:t>
      </w:r>
    </w:p>
    <w:p>
      <w:pPr>
        <w:pStyle w:val="Default"/>
        <w:suppressAutoHyphens w:val="1"/>
        <w:spacing w:before="0" w:after="27" w:line="240" w:lineRule="auto"/>
        <w:ind w:left="1093" w:hanging="1093"/>
        <w:rPr>
          <w:rFonts w:ascii="Times New Roman" w:cs="Times New Roman" w:hAnsi="Times New Roman" w:eastAsia="Times New Roman"/>
          <w:sz w:val="20"/>
          <w:szCs w:val="20"/>
        </w:rPr>
      </w:pPr>
      <w:r>
        <w:rPr>
          <w:rFonts w:ascii="Times New Roman" w:hAnsi="Times New Roman"/>
          <w:sz w:val="20"/>
          <w:szCs w:val="20"/>
          <w:rtl w:val="0"/>
          <w:lang w:val="en-US"/>
        </w:rPr>
        <w:t>15. Strongly requests Member States to cooperate, where requested by affected States, with relevant partners to remove landmines, explosive remnants of war, and other hazards from farmland and food-system infrastructure to restore production and safe livelihoods, and encourages the integration of clearance into recovery plans and rural development strategies.</w:t>
      </w:r>
    </w:p>
    <w:p>
      <w:pPr>
        <w:pStyle w:val="Default"/>
        <w:suppressAutoHyphens w:val="1"/>
        <w:spacing w:before="0" w:line="240" w:lineRule="auto"/>
      </w:pPr>
      <w:r>
        <w:rPr>
          <w:rFonts w:ascii="Times New Roman" w:hAnsi="Times New Roman" w:hint="default"/>
          <w:i w:val="1"/>
          <w:iCs w:val="1"/>
          <w:sz w:val="20"/>
          <w:szCs w:val="20"/>
          <w:rtl w:val="0"/>
        </w:rPr>
        <w:t>  </w:t>
      </w:r>
      <w:r>
        <w:rPr>
          <w:rFonts w:ascii="Times New Roman" w:hAnsi="Times New Roman"/>
          <w:sz w:val="20"/>
          <w:szCs w:val="20"/>
          <w:rtl w:val="0"/>
          <w:lang w:val="en-US"/>
        </w:rPr>
        <w:t>16. Requests the UN to continue discussing this agenda item in future meetings too.</w:t>
      </w:r>
    </w:p>
    <w:sectPr>
      <w:headerReference w:type="default" r:id="rId4"/>
      <w:footerReference w:type="default" r:id="rId5"/>
      <w:pgSz w:w="11900" w:h="16840" w:orient="portrait"/>
      <w:pgMar w:top="1440" w:right="1080" w:bottom="1440" w:left="1080" w:header="794" w:footer="992"/>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游明朝">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252"/>
        <w:tab w:val="right" w:pos="8504"/>
      </w:tabs>
      <w:jc w:val="right"/>
    </w:pPr>
    <w:r>
      <w:rPr>
        <w:rFonts w:ascii="Times New Roman" w:hAnsi="Times New Roman"/>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Conference (A)</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3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5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9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1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63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355" w:hanging="37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fr-FR"/>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Helvetica Neue"/>
        <a:ea typeface="Helvetica Neue"/>
        <a:cs typeface="Helvetica Neue"/>
      </a:majorFont>
      <a:minorFont>
        <a:latin typeface="Helvetica Neue"/>
        <a:ea typeface="Helvetica Neue"/>
        <a:cs typeface="Helvetica Neue"/>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