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sz w:val="21"/>
                <w:szCs w:val="21"/>
                <w:rtl w:val="0"/>
              </w:rPr>
              <w:t xml:space="preserve">/80/</w:t>
            </w:r>
            <w:r w:rsidDel="00000000" w:rsidR="00000000" w:rsidRPr="00000000">
              <w:rPr>
                <w:rFonts w:ascii="Times New Roman" w:cs="Times New Roman" w:eastAsia="Times New Roman" w:hAnsi="Times New Roman"/>
                <w:b w:val="1"/>
                <w:bCs w:val="1"/>
                <w:color w:val="ff0000"/>
                <w:sz w:val="21"/>
                <w:szCs w:val="21"/>
                <w:rtl w:val="0"/>
              </w:rPr>
              <w:t xml:space="preserve">WP</w:t>
            </w:r>
            <w:r w:rsidDel="00000000" w:rsidR="00000000" w:rsidRPr="00000000">
              <w:rPr>
                <w:rFonts w:ascii="Times New Roman" w:cs="Times New Roman" w:eastAsia="Times New Roman" w:hAnsi="Times New Roman"/>
                <w:sz w:val="21"/>
                <w:szCs w:val="21"/>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Distr.:General</w:t>
            </w:r>
          </w:p>
        </w:tc>
      </w:tr>
      <w:tr>
        <w:trPr>
          <w:cantSplit w:val="0"/>
          <w:trHeight w:val="153" w:hRule="atLeast"/>
          <w:tblHeader w:val="0"/>
        </w:trPr>
        <w:tc>
          <w:tcPr/>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widowControl w:val="0"/>
              <w:rPr>
                <w:rFonts w:ascii="Times New Roman" w:cs="Times New Roman" w:eastAsia="Times New Roman" w:hAnsi="Times New Roman"/>
                <w:sz w:val="21"/>
                <w:szCs w:val="21"/>
              </w:rPr>
            </w:pP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12 January, 2026</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widowControl w:val="0"/>
              <w:rPr>
                <w:rFonts w:ascii="Times New Roman" w:cs="Times New Roman" w:eastAsia="Times New Roman" w:hAnsi="Times New Roman"/>
                <w:sz w:val="21"/>
                <w:szCs w:val="2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widowControl w:val="0"/>
              <w:spacing w:line="24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Original: English</w:t>
            </w:r>
          </w:p>
        </w:tc>
      </w:tr>
    </w:tbl>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br w:type="textWrapping"/>
        <w:t xml:space="preserve">Eightieth Session</w:t>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Agenda item </w:t>
      </w:r>
      <w:r w:rsidDel="00000000" w:rsidR="00000000" w:rsidRPr="00000000">
        <w:rPr>
          <w:rFonts w:ascii="Times New Roman" w:cs="Times New Roman" w:eastAsia="Times New Roman" w:hAnsi="Times New Roman"/>
          <w:b w:val="1"/>
          <w:bCs w:val="1"/>
          <w:sz w:val="21"/>
          <w:szCs w:val="21"/>
          <w:rtl w:val="0"/>
        </w:rPr>
        <w:t xml:space="preserve">General Measures for Food Security Issues Caused by Conflict</w:t>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Sponsors: France,Germany,Greece,Norway,Sweaden,Spain</w:t>
      </w:r>
    </w:p>
    <w:p w:rsidR="00000000" w:rsidDel="00000000" w:rsidP="00000000" w:rsidRDefault="00000000" w:rsidRPr="00000000" w14:paraId="00000013">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4">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w:t>
      </w:r>
      <w:r w:rsidDel="00000000" w:rsidR="00000000" w:rsidRPr="00000000">
        <w:rPr>
          <w:rFonts w:ascii="Times New Roman" w:cs="Times New Roman" w:eastAsia="Times New Roman" w:hAnsi="Times New Roman"/>
          <w:sz w:val="20"/>
          <w:szCs w:val="20"/>
          <w:rtl w:val="0"/>
        </w:rPr>
        <w:t xml:space="preserve"> concern that, at the present session of the General Assembly, the policies of many countries have not been sufficiently reflected, and that international cooperation by the European Union risks being disrupted,</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w:t>
      </w:r>
      <w:r w:rsidDel="00000000" w:rsidR="00000000" w:rsidRPr="00000000">
        <w:rPr>
          <w:rFonts w:ascii="Times New Roman" w:cs="Times New Roman" w:eastAsia="Times New Roman" w:hAnsi="Times New Roman"/>
          <w:sz w:val="20"/>
          <w:szCs w:val="20"/>
          <w:rtl w:val="0"/>
        </w:rPr>
        <w:t xml:space="preserve"> further concern over the current situation in which armed conflicts are causing extensive harm to the international community,</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w:t>
      </w:r>
      <w:r w:rsidDel="00000000" w:rsidR="00000000" w:rsidRPr="00000000">
        <w:rPr>
          <w:rFonts w:ascii="Times New Roman" w:cs="Times New Roman" w:eastAsia="Times New Roman" w:hAnsi="Times New Roman"/>
          <w:sz w:val="20"/>
          <w:szCs w:val="20"/>
          <w:rtl w:val="0"/>
        </w:rPr>
        <w:t xml:space="preserve"> concern that instability in agriculture caused by armed conflict is contributing to rising food prices,</w:t>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w:t>
      </w:r>
      <w:r w:rsidDel="00000000" w:rsidR="00000000" w:rsidRPr="00000000">
        <w:rPr>
          <w:rFonts w:ascii="Times New Roman" w:cs="Times New Roman" w:eastAsia="Times New Roman" w:hAnsi="Times New Roman"/>
          <w:sz w:val="20"/>
          <w:szCs w:val="20"/>
          <w:rtl w:val="0"/>
        </w:rPr>
        <w:t xml:space="preserve"> concern that conflict-induced economic crises and large-scale movements of refugees are placing severe pressure on maritime routes and sea lines of communication,</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importance of assistance delivered through regional cooperation and international organizations, including South-South cooperation, North-South cooperation, triangular cooperation, and other forms of multilateral support,</w:t>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Aiming</w:t>
      </w:r>
      <w:r w:rsidDel="00000000" w:rsidR="00000000" w:rsidRPr="00000000">
        <w:rPr>
          <w:rFonts w:ascii="Times New Roman" w:cs="Times New Roman" w:eastAsia="Times New Roman" w:hAnsi="Times New Roman"/>
          <w:sz w:val="20"/>
          <w:szCs w:val="20"/>
          <w:rtl w:val="0"/>
        </w:rPr>
        <w:t xml:space="preserve"> to ensure that the international community, as a whole, addresses food-related challenges with urgency and determination and works toward improving global food security in the long term,</w:t>
      </w:r>
    </w:p>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Strongly emphasizes</w:t>
      </w:r>
      <w:r w:rsidDel="00000000" w:rsidR="00000000" w:rsidRPr="00000000">
        <w:rPr>
          <w:rFonts w:ascii="Times New Roman" w:cs="Times New Roman" w:eastAsia="Times New Roman" w:hAnsi="Times New Roman"/>
          <w:sz w:val="20"/>
          <w:szCs w:val="20"/>
          <w:rtl w:val="0"/>
        </w:rPr>
        <w:t xml:space="preserve"> the necessity of enhanced cooperation between the European Union and regional and international organizations;</w:t>
      </w:r>
    </w:p>
    <w:p w:rsidR="00000000" w:rsidDel="00000000" w:rsidP="00000000" w:rsidRDefault="00000000" w:rsidRPr="00000000" w14:paraId="00000023">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Member States to recognize that food insecurity caused by armed conflict has the following impacts on the international community:</w:t>
      </w:r>
    </w:p>
    <w:p w:rsidR="00000000" w:rsidDel="00000000" w:rsidP="00000000" w:rsidRDefault="00000000" w:rsidRPr="00000000" w14:paraId="00000025">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agricultural instability;</w:t>
      </w:r>
    </w:p>
    <w:p w:rsidR="00000000" w:rsidDel="00000000" w:rsidP="00000000" w:rsidRDefault="00000000" w:rsidRPr="00000000" w14:paraId="00000026">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rising food prices;</w:t>
      </w:r>
    </w:p>
    <w:p w:rsidR="00000000" w:rsidDel="00000000" w:rsidP="00000000" w:rsidRDefault="00000000" w:rsidRPr="00000000" w14:paraId="00000027">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economic crises;</w:t>
      </w:r>
    </w:p>
    <w:p w:rsidR="00000000" w:rsidDel="00000000" w:rsidP="00000000" w:rsidRDefault="00000000" w:rsidRPr="00000000" w14:paraId="00000028">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intensified movements of refugees;</w:t>
      </w:r>
    </w:p>
    <w:p w:rsidR="00000000" w:rsidDel="00000000" w:rsidP="00000000" w:rsidRDefault="00000000" w:rsidRPr="00000000" w14:paraId="00000029">
      <w:pPr>
        <w:numPr>
          <w:ilvl w:val="0"/>
          <w:numId w:val="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disruption of maritime routes and trade corridors.</w:t>
      </w:r>
    </w:p>
    <w:p w:rsidR="00000000" w:rsidDel="00000000" w:rsidP="00000000" w:rsidRDefault="00000000" w:rsidRPr="00000000" w14:paraId="0000002A">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Member States to take all necessary measures, in accordance with international law, to ensure the protection and unhindered operation of critical maritime routes and trade corridors, particularly for the transport of grain and fertilizers;</w:t>
      </w:r>
    </w:p>
    <w:p w:rsidR="00000000" w:rsidDel="00000000" w:rsidP="00000000" w:rsidRDefault="00000000" w:rsidRPr="00000000" w14:paraId="0000002C">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to strengthen the resilience of food production systems against the combined risks of conflict-induced economic shocks and natural disasters;</w:t>
      </w:r>
    </w:p>
    <w:p w:rsidR="00000000" w:rsidDel="00000000" w:rsidP="00000000" w:rsidRDefault="00000000" w:rsidRPr="00000000" w14:paraId="0000002E">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Member States to strengthen international and regional cooperation in order to mitigate these impacts and to enhance collective responses to conflict-induced food insecurity;</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Member States to support the necessity of compliance with international law;</w:t>
      </w:r>
    </w:p>
    <w:p w:rsidR="00000000" w:rsidDel="00000000" w:rsidP="00000000" w:rsidRDefault="00000000" w:rsidRPr="00000000" w14:paraId="00000031">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i w:val="1"/>
          <w:iCs w:val="1"/>
          <w:sz w:val="20"/>
          <w:szCs w:val="20"/>
          <w:rtl w:val="0"/>
        </w:rPr>
        <w:t xml:space="preserve">Decides</w:t>
      </w:r>
      <w:r w:rsidDel="00000000" w:rsidR="00000000" w:rsidRPr="00000000">
        <w:rPr>
          <w:rFonts w:ascii="Times New Roman" w:cs="Times New Roman" w:eastAsia="Times New Roman" w:hAnsi="Times New Roman"/>
          <w:sz w:val="20"/>
          <w:szCs w:val="20"/>
          <w:rtl w:val="0"/>
        </w:rPr>
        <w:t xml:space="preserve"> to remain actively seized the matter even slightly.</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tabs>
        <w:tab w:val="center" w:leader="none" w:pos="4252"/>
        <w:tab w:val="right" w:leader="none" w:pos="8504"/>
      </w:tabs>
      <w:spacing w:line="240" w:lineRule="auto"/>
      <w:ind w:right="-749.5275590551165"/>
      <w:jc w:val="right"/>
      <w:rPr/>
    </w:pPr>
    <w:r w:rsidDel="00000000" w:rsidR="00000000" w:rsidRPr="00000000">
      <w:rPr>
        <w:rFonts w:ascii="Times New Roman" w:cs="Times New Roman" w:eastAsia="Times New Roman" w:hAnsi="Times New Roman"/>
        <w:sz w:val="21"/>
        <w:szCs w:val="21"/>
        <w:rtl w:val="0"/>
      </w:rPr>
      <w:t xml:space="preserve">Conference (A or B)</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