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b w:val="1"/>
                <w:bCs w:val="1"/>
                <w:color w:val="ff0000"/>
                <w:rtl w:val="0"/>
              </w:rPr>
              <w:t xml:space="preserve">WP</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-86328</wp:posOffset>
                  </wp:positionH>
                  <wp:positionV relativeFrom="paragraph">
                    <wp:posOffset>-239388</wp:posOffset>
                  </wp:positionV>
                  <wp:extent cx="734886" cy="691085"/>
                  <wp:effectExtent b="0" l="0" r="0" t="0"/>
                  <wp:wrapNone/>
                  <wp:docPr id="11865220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January, 2025</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Agenda item XX</w:t>
        <w:br w:type="textWrapping"/>
      </w:r>
      <w:r w:rsidDel="00000000" w:rsidR="00000000" w:rsidRPr="00000000">
        <w:rPr>
          <w:rFonts w:ascii="Times New Roman" w:cs="Times New Roman" w:eastAsia="Times New Roman" w:hAnsi="Times New Roman"/>
          <w:b w:val="1"/>
          <w:bCs w:val="1"/>
          <w:rtl w:val="0"/>
        </w:rPr>
        <w:t xml:space="preserve">General Measures for Food Security Caused by Conflict</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3"/>
          <w:szCs w:val="23"/>
          <w:rtl w:val="0"/>
        </w:rPr>
        <w:t xml:space="preserve">Sponsors: </w:t>
      </w:r>
      <w:r w:rsidDel="00000000" w:rsidR="00000000" w:rsidRPr="00000000">
        <w:rPr>
          <w:rFonts w:ascii="Times New Roman" w:cs="Times New Roman" w:eastAsia="Times New Roman" w:hAnsi="Times New Roman"/>
          <w:sz w:val="20"/>
          <w:szCs w:val="20"/>
          <w:rtl w:val="0"/>
        </w:rPr>
        <w:t xml:space="preserve">Afghanistan, Argentina, Armenia, Australia, Azerbaijan, Bangladesh, Bosnia and Herzegovina, Brazil, Burkina Faso, Canada, Central African Republic, Chad, Chile, China, Democratic Republic of the Congo, Ethiopia, France, Germany, Greece, India, Iran, Iraq, Japan, Jordan, Kazakhstan, Kenya, Lebanon, Libya, Mali, Morocco, Myanmar, Netherlands, Nigeria, Norway,Pakistan, Panama, Philippines, Poland, Qatar, Republic of Korea, Russian Federation, Saudi Arabia, Singapore, Somalia, South Africa, South Sudan, Spain, Sudan, Sweden, Syria, Thailand, Turkey, Uganda, Ukraine, United Arab Emirates, United Kingdom, Vietnam, Yemen</w:t>
      </w:r>
    </w:p>
    <w:p w:rsidR="00000000" w:rsidDel="00000000" w:rsidP="00000000" w:rsidRDefault="00000000" w:rsidRPr="00000000" w14:paraId="00000013">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i w:val="1"/>
          <w:iCs w:val="1"/>
          <w:sz w:val="23"/>
          <w:szCs w:val="23"/>
        </w:rPr>
      </w:pPr>
      <w:r w:rsidDel="00000000" w:rsidR="00000000" w:rsidRPr="00000000">
        <w:rPr>
          <w:rFonts w:ascii="Times New Roman" w:cs="Times New Roman" w:eastAsia="Times New Roman" w:hAnsi="Times New Roman"/>
          <w:i w:val="1"/>
          <w:iCs w:val="1"/>
          <w:sz w:val="23"/>
          <w:szCs w:val="23"/>
          <w:rtl w:val="0"/>
        </w:rPr>
        <w:t xml:space="preserve">The General Assembly</w:t>
      </w:r>
    </w:p>
    <w:p w:rsidR="00000000" w:rsidDel="00000000" w:rsidP="00000000" w:rsidRDefault="00000000" w:rsidRPr="00000000" w14:paraId="00000015">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Alarmed</w:t>
      </w:r>
      <w:r w:rsidDel="00000000" w:rsidR="00000000" w:rsidRPr="00000000">
        <w:rPr>
          <w:rFonts w:ascii="Times New Roman" w:cs="Times New Roman" w:eastAsia="Times New Roman" w:hAnsi="Times New Roman"/>
          <w:sz w:val="23"/>
          <w:szCs w:val="23"/>
          <w:rtl w:val="0"/>
        </w:rPr>
        <w:t xml:space="preserve"> by the substantial reductions in global Official Development Assistance (ODA) and the projected declines in humanitarian budgets, which threaten the stability of global food security frameworks,</w:t>
      </w:r>
    </w:p>
    <w:p w:rsidR="00000000" w:rsidDel="00000000" w:rsidP="00000000" w:rsidRDefault="00000000" w:rsidRPr="00000000" w14:paraId="00000016">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Recognizing</w:t>
      </w:r>
      <w:r w:rsidDel="00000000" w:rsidR="00000000" w:rsidRPr="00000000">
        <w:rPr>
          <w:rFonts w:ascii="Times New Roman" w:cs="Times New Roman" w:eastAsia="Times New Roman" w:hAnsi="Times New Roman"/>
          <w:sz w:val="23"/>
          <w:szCs w:val="23"/>
          <w:rtl w:val="0"/>
        </w:rPr>
        <w:t xml:space="preserve"> that high levels of external debt often force Least Developed Countries (LDCs) to choose between debt servicing and essential domestic food security investments,</w:t>
      </w:r>
    </w:p>
    <w:p w:rsidR="00000000" w:rsidDel="00000000" w:rsidP="00000000" w:rsidRDefault="00000000" w:rsidRPr="00000000" w14:paraId="00000017">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Deeply</w:t>
      </w:r>
      <w:r w:rsidDel="00000000" w:rsidR="00000000" w:rsidRPr="00000000">
        <w:rPr>
          <w:rFonts w:ascii="Times New Roman" w:cs="Times New Roman" w:eastAsia="Times New Roman" w:hAnsi="Times New Roman"/>
          <w:sz w:val="23"/>
          <w:szCs w:val="23"/>
          <w:rtl w:val="0"/>
        </w:rPr>
        <w:t xml:space="preserve"> concerned that the World Food Programme (WFP) faces significant budget shortfalls, necessitating difficult prioritizations in the delivery of life-saving food aid to those in the most critical hunger states,</w:t>
      </w:r>
    </w:p>
    <w:p w:rsidR="00000000" w:rsidDel="00000000" w:rsidP="00000000" w:rsidRDefault="00000000" w:rsidRPr="00000000" w14:paraId="00000018">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Acknowledging</w:t>
      </w:r>
      <w:r w:rsidDel="00000000" w:rsidR="00000000" w:rsidRPr="00000000">
        <w:rPr>
          <w:rFonts w:ascii="Times New Roman" w:cs="Times New Roman" w:eastAsia="Times New Roman" w:hAnsi="Times New Roman"/>
          <w:sz w:val="23"/>
          <w:szCs w:val="23"/>
          <w:rtl w:val="0"/>
        </w:rPr>
        <w:t xml:space="preserve"> the urgent need to mobilize additional resources beyond traditional donor budgets to close the widening humanitarian funding gap,</w:t>
      </w:r>
    </w:p>
    <w:p w:rsidR="00000000" w:rsidDel="00000000" w:rsidP="00000000" w:rsidRDefault="00000000" w:rsidRPr="00000000" w14:paraId="00000019">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Noting with regret</w:t>
      </w:r>
      <w:r w:rsidDel="00000000" w:rsidR="00000000" w:rsidRPr="00000000">
        <w:rPr>
          <w:rFonts w:ascii="Times New Roman" w:cs="Times New Roman" w:eastAsia="Times New Roman" w:hAnsi="Times New Roman"/>
          <w:sz w:val="23"/>
          <w:szCs w:val="23"/>
          <w:rtl w:val="0"/>
        </w:rPr>
        <w:t xml:space="preserve"> the acute fiscal pressures faced by developing nations, where aid volatility creates significant gaps in national budgets and risks the loss of essential public sector services,</w:t>
      </w:r>
    </w:p>
    <w:p w:rsidR="00000000" w:rsidDel="00000000" w:rsidP="00000000" w:rsidRDefault="00000000" w:rsidRPr="00000000" w14:paraId="0000001A">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Recalling </w:t>
      </w:r>
      <w:r w:rsidDel="00000000" w:rsidR="00000000" w:rsidRPr="00000000">
        <w:rPr>
          <w:rFonts w:ascii="Times New Roman" w:cs="Times New Roman" w:eastAsia="Times New Roman" w:hAnsi="Times New Roman"/>
          <w:sz w:val="23"/>
          <w:szCs w:val="23"/>
          <w:rtl w:val="0"/>
        </w:rPr>
        <w:t xml:space="preserve">the Emerging Donor Matching Funds conducted by the WFP, and their contribution towards improved funding,</w:t>
      </w:r>
    </w:p>
    <w:p w:rsidR="00000000" w:rsidDel="00000000" w:rsidP="00000000" w:rsidRDefault="00000000" w:rsidRPr="00000000" w14:paraId="0000001B">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Recognizing </w:t>
      </w:r>
      <w:r w:rsidDel="00000000" w:rsidR="00000000" w:rsidRPr="00000000">
        <w:rPr>
          <w:rFonts w:ascii="Times New Roman" w:cs="Times New Roman" w:eastAsia="Times New Roman" w:hAnsi="Times New Roman"/>
          <w:sz w:val="23"/>
          <w:szCs w:val="23"/>
          <w:rtl w:val="0"/>
        </w:rPr>
        <w:t xml:space="preserve">the International Monetary Fund(IMF) for its significant work,</w:t>
      </w:r>
    </w:p>
    <w:p w:rsidR="00000000" w:rsidDel="00000000" w:rsidP="00000000" w:rsidRDefault="00000000" w:rsidRPr="00000000" w14:paraId="0000001C">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Aware that localized humanitarian responses led by community-based organizations are often the most efficient and cost-effective methods of aid delivery,ssszz</w:t>
      </w:r>
    </w:p>
    <w:p w:rsidR="00000000" w:rsidDel="00000000" w:rsidP="00000000" w:rsidRDefault="00000000" w:rsidRPr="00000000" w14:paraId="0000001D">
      <w:pPr>
        <w:spacing w:after="240" w:before="240" w:line="360" w:lineRule="auto"/>
        <w:jc w:val="left"/>
        <w:rPr>
          <w:rFonts w:ascii="Times New Roman" w:cs="Times New Roman" w:eastAsia="Times New Roman" w:hAnsi="Times New Roman"/>
          <w:i w:val="1"/>
          <w:iCs w:val="1"/>
          <w:sz w:val="23"/>
          <w:szCs w:val="23"/>
        </w:rPr>
      </w:pPr>
      <w:r w:rsidDel="00000000" w:rsidR="00000000" w:rsidRPr="00000000">
        <w:rPr>
          <w:rFonts w:ascii="Times New Roman" w:cs="Times New Roman" w:eastAsia="Times New Roman" w:hAnsi="Times New Roman"/>
          <w:i w:val="1"/>
          <w:iCs w:val="1"/>
          <w:sz w:val="23"/>
          <w:szCs w:val="23"/>
          <w:rtl w:val="0"/>
        </w:rPr>
        <w:t xml:space="preserve">Recognizing</w:t>
      </w:r>
      <w:r w:rsidDel="00000000" w:rsidR="00000000" w:rsidRPr="00000000">
        <w:rPr>
          <w:rFonts w:ascii="Times New Roman" w:cs="Times New Roman" w:eastAsia="Times New Roman" w:hAnsi="Times New Roman"/>
          <w:sz w:val="23"/>
          <w:szCs w:val="23"/>
          <w:rtl w:val="0"/>
        </w:rPr>
        <w:t xml:space="preserve"> that the existing international financial architecture often requires developing nations to prioritize external debt servicing over essential domestic food security and humanitarian requirements,</w:t>
      </w:r>
      <w:r w:rsidDel="00000000" w:rsidR="00000000" w:rsidRPr="00000000">
        <w:rPr>
          <w:rtl w:val="0"/>
        </w:rPr>
      </w:r>
    </w:p>
    <w:p w:rsidR="00000000" w:rsidDel="00000000" w:rsidP="00000000" w:rsidRDefault="00000000" w:rsidRPr="00000000" w14:paraId="0000001E">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Thereby, </w:t>
      </w:r>
    </w:p>
    <w:p w:rsidR="00000000" w:rsidDel="00000000" w:rsidP="00000000" w:rsidRDefault="00000000" w:rsidRPr="00000000" w14:paraId="0000001F">
      <w:pPr>
        <w:numPr>
          <w:ilvl w:val="0"/>
          <w:numId w:val="1"/>
        </w:numPr>
        <w:spacing w:after="200" w:before="24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Invites</w:t>
      </w:r>
      <w:r w:rsidDel="00000000" w:rsidR="00000000" w:rsidRPr="00000000">
        <w:rPr>
          <w:rFonts w:ascii="Times New Roman" w:cs="Times New Roman" w:eastAsia="Times New Roman" w:hAnsi="Times New Roman"/>
          <w:sz w:val="23"/>
          <w:szCs w:val="23"/>
          <w:rtl w:val="0"/>
        </w:rPr>
        <w:t xml:space="preserve"> developed nations to coordinate with recipient countries to establish clear, multi-year funding frameworks for Net Food-Importing Developing Countries (NFIDCs) to support national budget predictability;</w:t>
      </w:r>
    </w:p>
    <w:p w:rsidR="00000000" w:rsidDel="00000000" w:rsidP="00000000" w:rsidRDefault="00000000" w:rsidRPr="00000000" w14:paraId="00000020">
      <w:pPr>
        <w:numPr>
          <w:ilvl w:val="0"/>
          <w:numId w:val="1"/>
        </w:numPr>
        <w:spacing w:after="20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Encourages</w:t>
      </w:r>
      <w:r w:rsidDel="00000000" w:rsidR="00000000" w:rsidRPr="00000000">
        <w:rPr>
          <w:rFonts w:ascii="Times New Roman" w:cs="Times New Roman" w:eastAsia="Times New Roman" w:hAnsi="Times New Roman"/>
          <w:sz w:val="23"/>
          <w:szCs w:val="23"/>
          <w:rtl w:val="0"/>
        </w:rPr>
        <w:t xml:space="preserve"> the exploration of voluntary Debt-for-Development Swaps for Least Developed Countries (LDCs), where debt restructuring may be considered in favor of redirected domestic investments toward climate-resilient agriculture and localized food systems;</w:t>
      </w:r>
    </w:p>
    <w:p w:rsidR="00000000" w:rsidDel="00000000" w:rsidP="00000000" w:rsidRDefault="00000000" w:rsidRPr="00000000" w14:paraId="00000021">
      <w:pPr>
        <w:numPr>
          <w:ilvl w:val="0"/>
          <w:numId w:val="1"/>
        </w:numPr>
        <w:spacing w:after="20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Requests</w:t>
      </w:r>
      <w:r w:rsidDel="00000000" w:rsidR="00000000" w:rsidRPr="00000000">
        <w:rPr>
          <w:rFonts w:ascii="Times New Roman" w:cs="Times New Roman" w:eastAsia="Times New Roman" w:hAnsi="Times New Roman"/>
          <w:sz w:val="23"/>
          <w:szCs w:val="23"/>
          <w:rtl w:val="0"/>
        </w:rPr>
        <w:t xml:space="preserve"> the further expansion of Matching Funds for the WFP, inviting contributions from a broad range of partners, including emerging economies, philanthropic organizations, and private sector entities, to be complemented by traditional donor support where feasible;</w:t>
      </w:r>
    </w:p>
    <w:p w:rsidR="00000000" w:rsidDel="00000000" w:rsidP="00000000" w:rsidRDefault="00000000" w:rsidRPr="00000000" w14:paraId="00000022">
      <w:pPr>
        <w:numPr>
          <w:ilvl w:val="0"/>
          <w:numId w:val="1"/>
        </w:numPr>
        <w:spacing w:after="20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Supports</w:t>
      </w:r>
      <w:r w:rsidDel="00000000" w:rsidR="00000000" w:rsidRPr="00000000">
        <w:rPr>
          <w:rFonts w:ascii="Times New Roman" w:cs="Times New Roman" w:eastAsia="Times New Roman" w:hAnsi="Times New Roman"/>
          <w:sz w:val="23"/>
          <w:szCs w:val="23"/>
          <w:rtl w:val="0"/>
        </w:rPr>
        <w:t xml:space="preserve"> the growth of Public-Private Partnerships (PPPs) that leverage private sector innovation in agritech and logistics to strengthen the self-sufficiency of smallholder farmers in NFIDCs;</w:t>
      </w:r>
    </w:p>
    <w:p w:rsidR="00000000" w:rsidDel="00000000" w:rsidP="00000000" w:rsidRDefault="00000000" w:rsidRPr="00000000" w14:paraId="00000023">
      <w:pPr>
        <w:numPr>
          <w:ilvl w:val="0"/>
          <w:numId w:val="1"/>
        </w:numPr>
        <w:spacing w:after="20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Suggests</w:t>
      </w:r>
      <w:r w:rsidDel="00000000" w:rsidR="00000000" w:rsidRPr="00000000">
        <w:rPr>
          <w:rFonts w:ascii="Times New Roman" w:cs="Times New Roman" w:eastAsia="Times New Roman" w:hAnsi="Times New Roman"/>
          <w:sz w:val="23"/>
          <w:szCs w:val="23"/>
          <w:rtl w:val="0"/>
        </w:rPr>
        <w:t xml:space="preserve"> strengthening humanitarian frameworks through Localization, aimed at increasing the involvement of local Non-Governmental Organizations (NGOs) in aid delivery to enhance efficiency and community engagement;</w:t>
      </w:r>
    </w:p>
    <w:p w:rsidR="00000000" w:rsidDel="00000000" w:rsidP="00000000" w:rsidRDefault="00000000" w:rsidRPr="00000000" w14:paraId="00000024">
      <w:pPr>
        <w:numPr>
          <w:ilvl w:val="0"/>
          <w:numId w:val="1"/>
        </w:numPr>
        <w:spacing w:after="20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Invites</w:t>
      </w:r>
      <w:r w:rsidDel="00000000" w:rsidR="00000000" w:rsidRPr="00000000">
        <w:rPr>
          <w:rFonts w:ascii="Times New Roman" w:cs="Times New Roman" w:eastAsia="Times New Roman" w:hAnsi="Times New Roman"/>
          <w:sz w:val="23"/>
          <w:szCs w:val="23"/>
          <w:rtl w:val="0"/>
        </w:rPr>
        <w:t xml:space="preserve"> the International Monetary Fund (IMF) and other relevant financial institutions to review mechanisms for enhanced access to liquidity, such as the voluntary re-channeling of Special Drawing Rights (SDRs), to support food and fuel imports during acute economic shocks;</w:t>
      </w:r>
    </w:p>
    <w:p w:rsidR="00000000" w:rsidDel="00000000" w:rsidP="00000000" w:rsidRDefault="00000000" w:rsidRPr="00000000" w14:paraId="00000025">
      <w:pPr>
        <w:numPr>
          <w:ilvl w:val="0"/>
          <w:numId w:val="1"/>
        </w:numPr>
        <w:spacing w:after="20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Emphasizes</w:t>
      </w:r>
      <w:r w:rsidDel="00000000" w:rsidR="00000000" w:rsidRPr="00000000">
        <w:rPr>
          <w:rFonts w:ascii="Times New Roman" w:cs="Times New Roman" w:eastAsia="Times New Roman" w:hAnsi="Times New Roman"/>
          <w:sz w:val="23"/>
          <w:szCs w:val="23"/>
          <w:rtl w:val="0"/>
        </w:rPr>
        <w:t xml:space="preserve"> that addressing food insecurity caused by conflict requires creating an evaluation criterion to determine aid distribution, taking into account such factors, including but not limited to the aspects listed below, and to continue the consideration and examination of the aspects to determine the recipients of aid.</w:t>
      </w:r>
    </w:p>
    <w:p w:rsidR="00000000" w:rsidDel="00000000" w:rsidP="00000000" w:rsidRDefault="00000000" w:rsidRPr="00000000" w14:paraId="00000026">
      <w:pPr>
        <w:numPr>
          <w:ilvl w:val="1"/>
          <w:numId w:val="1"/>
        </w:numPr>
        <w:ind w:left="144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severity and background of the conflict, </w:t>
      </w:r>
    </w:p>
    <w:p w:rsidR="00000000" w:rsidDel="00000000" w:rsidP="00000000" w:rsidRDefault="00000000" w:rsidRPr="00000000" w14:paraId="00000027">
      <w:pPr>
        <w:numPr>
          <w:ilvl w:val="1"/>
          <w:numId w:val="1"/>
        </w:numPr>
        <w:ind w:left="144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level of support already provided by other states,</w:t>
      </w:r>
    </w:p>
    <w:p w:rsidR="00000000" w:rsidDel="00000000" w:rsidP="00000000" w:rsidRDefault="00000000" w:rsidRPr="00000000" w14:paraId="00000028">
      <w:pPr>
        <w:numPr>
          <w:ilvl w:val="1"/>
          <w:numId w:val="1"/>
        </w:numPr>
        <w:spacing w:after="200" w:lineRule="auto"/>
        <w:ind w:left="144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degree of harm inflicted on affected populations;</w:t>
      </w:r>
    </w:p>
    <w:p w:rsidR="00000000" w:rsidDel="00000000" w:rsidP="00000000" w:rsidRDefault="00000000" w:rsidRPr="00000000" w14:paraId="00000029">
      <w:pPr>
        <w:numPr>
          <w:ilvl w:val="0"/>
          <w:numId w:val="1"/>
        </w:numPr>
        <w:spacing w:after="200" w:before="24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Decides</w:t>
      </w:r>
      <w:r w:rsidDel="00000000" w:rsidR="00000000" w:rsidRPr="00000000">
        <w:rPr>
          <w:rFonts w:ascii="Times New Roman" w:cs="Times New Roman" w:eastAsia="Times New Roman" w:hAnsi="Times New Roman"/>
          <w:sz w:val="23"/>
          <w:szCs w:val="23"/>
          <w:rtl w:val="0"/>
        </w:rPr>
        <w:t xml:space="preserve"> to remain actively seized of the matter.</w:t>
      </w:r>
      <w:r w:rsidDel="00000000" w:rsidR="00000000" w:rsidRPr="00000000">
        <w:rPr>
          <w:rtl w:val="0"/>
        </w:rPr>
      </w:r>
    </w:p>
    <w:p w:rsidR="00000000" w:rsidDel="00000000" w:rsidP="00000000" w:rsidRDefault="00000000" w:rsidRPr="00000000" w14:paraId="0000002A">
      <w:pPr>
        <w:spacing w:after="20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B">
      <w:pPr>
        <w:spacing w:after="200" w:lineRule="auto"/>
        <w:rPr>
          <w:rFonts w:ascii="Times New Roman" w:cs="Times New Roman" w:eastAsia="Times New Roman" w:hAnsi="Times New Roman"/>
          <w:sz w:val="23"/>
          <w:szCs w:val="23"/>
        </w:rPr>
      </w:pPr>
      <w:r w:rsidDel="00000000" w:rsidR="00000000" w:rsidRPr="00000000">
        <w:rPr>
          <w:rtl w:val="0"/>
        </w:rPr>
      </w:r>
    </w:p>
    <w:sectPr>
      <w:headerReference r:id="rId8" w:type="default"/>
      <w:pgSz w:h="16838" w:w="11906" w:orient="portrait"/>
      <w:pgMar w:bottom="1440" w:top="1440" w:left="1080" w:right="1080" w:header="79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(A or B)</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3429B"/>
    <w:pPr>
      <w:tabs>
        <w:tab w:val="center" w:pos="4252"/>
        <w:tab w:val="right" w:pos="8504"/>
      </w:tabs>
      <w:snapToGrid w:val="0"/>
    </w:pPr>
  </w:style>
  <w:style w:type="character" w:styleId="a5" w:customStyle="1">
    <w:name w:val="ヘッダー (文字)"/>
    <w:basedOn w:val="a0"/>
    <w:link w:val="a4"/>
    <w:uiPriority w:val="99"/>
    <w:rsid w:val="00D3429B"/>
  </w:style>
  <w:style w:type="paragraph" w:styleId="a6">
    <w:name w:val="footer"/>
    <w:basedOn w:val="a"/>
    <w:link w:val="a7"/>
    <w:uiPriority w:val="99"/>
    <w:unhideWhenUsed w:val="1"/>
    <w:rsid w:val="00D3429B"/>
    <w:pPr>
      <w:tabs>
        <w:tab w:val="center" w:pos="4252"/>
        <w:tab w:val="right" w:pos="8504"/>
      </w:tabs>
      <w:snapToGrid w:val="0"/>
    </w:pPr>
  </w:style>
  <w:style w:type="character" w:styleId="a7" w:customStyle="1">
    <w:name w:val="フッター (文字)"/>
    <w:basedOn w:val="a0"/>
    <w:link w:val="a6"/>
    <w:uiPriority w:val="99"/>
    <w:rsid w:val="00D3429B"/>
  </w:style>
  <w:style w:type="paragraph" w:styleId="a8">
    <w:name w:val="List Paragraph"/>
    <w:basedOn w:val="a"/>
    <w:uiPriority w:val="34"/>
    <w:qFormat w:val="1"/>
    <w:rsid w:val="00C81283"/>
    <w:pPr>
      <w:ind w:left="840" w:leftChars="400"/>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4DBW/og3UdODy2znBvk0AN0nlA==">CgMxLjA4AHIhMUNUd0llcnBDcURiWWRPZW5YQVBmRHdfZERidHJQdTQ5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2023-12-30T05:48:00Z</dcterms:created>
  <dc:creator>持田　隼人</dc:creator>
</cp:coreProperties>
</file>