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1865220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 Mexico, Syrian Arab Republic,  Iran, Panama, UAE,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Assembly,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Guided by the principle that food security is a core pillar of national sovereignty and a fundamental human right,</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Recognizing that unilateral economic warfare, including financial and insurance sanctions, creates artificial bottlenecks for essential agricultural inputs like fertilizers and seeds,</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Iran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all parties in armed conflict to guarantee safe and uninterrupted humanitarian access for the provision of food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Encourages all Member States to report any food export restrictions to the UN to ensure international market transparency and price stability.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Syria</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Noting with deep concern that Syria faces a severe food insecurity caused by conflicts, it gives a considerable impact on children and pregnant and breastfeeding women who are especially in need of nutritional support, alarmed by the armed conflict attacking the provision route of food assistance, the immediate food assistance system is vulnerable.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Urges the balanced system between immediate food assistance provided by WFP and FAO and long-term agricultural support including machineries and humanitarian aids to achieve sustainable self-sufficiency,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Requests adequate amounts of food and nutrition assistance, so that it can reach to all the people who are lacking in food, to achieve sustainable food production, emphasizes the need of revival of agricultural infrastructure including seeds and fertilizers, and irrigation system.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Mexico:</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Express concern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and other relevant stakeholders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Calls upon Member States, during armed conflict, to activate pre-negotiated humanitarian and food trade agreements, prevent export restrictions on staple foods, and protect essential supply routes to ensure civilians have access to food.</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Reasoning -Long-term deduction of aid dependency Pair trade stability mechanism with gradual investments in agricultural technology, climate-resilient crops, and capacity-building to predict long-</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w:t>
      </w:r>
    </w:p>
    <w:p w:rsidR="00000000" w:rsidDel="00000000" w:rsidP="00000000" w:rsidRDefault="00000000" w:rsidRPr="00000000" w14:paraId="00000032">
      <w:pPr>
        <w:rPr>
          <w:rFonts w:ascii="Times New Roman" w:cs="Times New Roman" w:eastAsia="Times New Roman" w:hAnsi="Times New Roman"/>
        </w:rPr>
      </w:pPr>
      <w:sdt>
        <w:sdtPr>
          <w:id w:val="-1535704230"/>
          <w:tag w:val="goog_rdk_0"/>
        </w:sdtPr>
        <w:sdtContent>
          <w:r w:rsidDel="00000000" w:rsidR="00000000" w:rsidRPr="00000000">
            <w:rPr>
              <w:rFonts w:ascii="Gungsuh" w:cs="Gungsuh" w:eastAsia="Gungsuh" w:hAnsi="Gungsuh"/>
              <w:rtl w:val="0"/>
            </w:rPr>
            <w:t xml:space="preserve">・Panama’s ultimate goal is to neutralize global supply chains, keep international trade routes safe, and call for the acceleration of humanitarian aid. We will not rule out any options to secure the flow of food to those in need.</w:t>
          </w:r>
        </w:sdtContent>
      </w:sdt>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ungsuh"/>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NqaHO98k/fJy8hai1rqC9Ie6w==">CgMxLjAaJQoBMBIgCh4IB0IaCg9UaW1lcyBOZXcgUm9tYW4SB0d1bmdzdWg4AHIhMU1jclFuZm5iUzAteWpaODJvOVBVZzJMMkxsZDFtRlZH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