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-86329</wp:posOffset>
                  </wp:positionH>
                  <wp:positionV relativeFrom="paragraph">
                    <wp:posOffset>-239389</wp:posOffset>
                  </wp:positionV>
                  <wp:extent cx="734886" cy="691085"/>
                  <wp:effectExtent b="0" l="0" r="0" t="0"/>
                  <wp:wrapNone/>
                  <wp:docPr id="11865220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January, 2026</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Issues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Sponsors: </w:t>
      </w:r>
      <w:r w:rsidDel="00000000" w:rsidR="00000000" w:rsidRPr="00000000">
        <w:rPr>
          <w:rFonts w:ascii="Times New Roman" w:cs="Times New Roman" w:eastAsia="Times New Roman" w:hAnsi="Times New Roman"/>
          <w:i w:val="1"/>
          <w:iCs w:val="1"/>
          <w:rtl w:val="0"/>
        </w:rPr>
        <w:t xml:space="preserve">Kenya, Egypt, and Poland</w:t>
      </w:r>
    </w:p>
    <w:p w:rsidR="00000000" w:rsidDel="00000000" w:rsidP="00000000" w:rsidRDefault="00000000" w:rsidRPr="00000000" w14:paraId="00000013">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Preambulatory Clauses</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1"/>
          <w:bCs w:val="1"/>
          <w:i w:val="1"/>
          <w:iCs w:val="1"/>
          <w:rtl w:val="0"/>
        </w:rPr>
        <w:t xml:space="preserve">Deeply concerned</w:t>
      </w:r>
      <w:r w:rsidDel="00000000" w:rsidR="00000000" w:rsidRPr="00000000">
        <w:rPr>
          <w:rFonts w:ascii="Times New Roman" w:cs="Times New Roman" w:eastAsia="Times New Roman" w:hAnsi="Times New Roman"/>
          <w:rtl w:val="0"/>
        </w:rPr>
        <w:t xml:space="preserve"> by the increasing number of persons forced to flee their homes due to conflict and violence, noting that as of the end of 2024, approximately 42.7 million people are conflict-related refugees, according to the UNHCR Global Trends Report 2024 (UNHCR, 2025), and recognizing that conflict remains a primary driver of displacement;</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2.</w:t>
      </w:r>
      <w:r w:rsidDel="00000000" w:rsidR="00000000" w:rsidRPr="00000000">
        <w:rPr>
          <w:rFonts w:ascii="Times New Roman" w:cs="Times New Roman" w:eastAsia="Times New Roman" w:hAnsi="Times New Roman"/>
          <w:b w:val="1"/>
          <w:bCs w:val="1"/>
          <w:i w:val="1"/>
          <w:iCs w:val="1"/>
          <w:rtl w:val="0"/>
        </w:rPr>
        <w:t xml:space="preserve">Recognizing</w:t>
      </w:r>
      <w:r w:rsidDel="00000000" w:rsidR="00000000" w:rsidRPr="00000000">
        <w:rPr>
          <w:rFonts w:ascii="Times New Roman" w:cs="Times New Roman" w:eastAsia="Times New Roman" w:hAnsi="Times New Roman"/>
          <w:rtl w:val="0"/>
        </w:rPr>
        <w:t xml:space="preserve"> that the majority of conflict-related refugees are hosted in conflict-affected regions and neighboring low- and middle-income countries, including Kenya (e.g., Dadaab and Kakuma refugee camps) and Egypt, with increased strain on receiving countries and temporary facilities in European states such as Poland;</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1"/>
          <w:bCs w:val="1"/>
          <w:i w:val="1"/>
          <w:iCs w:val="1"/>
          <w:rtl w:val="0"/>
        </w:rPr>
        <w:t xml:space="preserve">Acknowledging</w:t>
      </w:r>
      <w:r w:rsidDel="00000000" w:rsidR="00000000" w:rsidRPr="00000000">
        <w:rPr>
          <w:rFonts w:ascii="Times New Roman" w:cs="Times New Roman" w:eastAsia="Times New Roman" w:hAnsi="Times New Roman"/>
          <w:rtl w:val="0"/>
        </w:rPr>
        <w:t xml:space="preserve"> that displaced populations in conflict settings face deteriorating living conditions, including compromised food safety and water quality, leading to increased risks of infectious diseases such as diarrhea, cholera, and malaria, as reported by WHO (2024) and UNICEF (2024);</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1"/>
          <w:bCs w:val="1"/>
          <w:i w:val="1"/>
          <w:iCs w:val="1"/>
          <w:rtl w:val="0"/>
        </w:rPr>
        <w:t xml:space="preserve">Emphasizing</w:t>
      </w:r>
      <w:r w:rsidDel="00000000" w:rsidR="00000000" w:rsidRPr="00000000">
        <w:rPr>
          <w:rFonts w:ascii="Times New Roman" w:cs="Times New Roman" w:eastAsia="Times New Roman" w:hAnsi="Times New Roman"/>
          <w:rtl w:val="0"/>
        </w:rPr>
        <w:t xml:space="preserve"> the indispensable role of international agencies such as UNHCR, WHO, UNICEF, and IFRC in providing integrated support for food hygiene, training, material distribution, and monitoring systems;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1"/>
          <w:bCs w:val="1"/>
          <w:i w:val="1"/>
          <w:iCs w:val="1"/>
          <w:rtl w:val="0"/>
        </w:rPr>
        <w:t xml:space="preserve">Recognizing</w:t>
      </w:r>
      <w:r w:rsidDel="00000000" w:rsidR="00000000" w:rsidRPr="00000000">
        <w:rPr>
          <w:rFonts w:ascii="Times New Roman" w:cs="Times New Roman" w:eastAsia="Times New Roman" w:hAnsi="Times New Roman"/>
          <w:rtl w:val="0"/>
        </w:rPr>
        <w:t xml:space="preserve"> the efforts of Kenya, Egypt, and Poland to address refugee needs within their capacities, and the effectiveness of coordinated international cooperation in implementing comprehensive solutions.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Operative Clauses</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1"/>
          <w:bCs w:val="1"/>
          <w:i w:val="1"/>
          <w:iCs w:val="1"/>
          <w:rtl w:val="0"/>
        </w:rPr>
        <w:t xml:space="preserve">Calls upon</w:t>
      </w:r>
      <w:r w:rsidDel="00000000" w:rsidR="00000000" w:rsidRPr="00000000">
        <w:rPr>
          <w:rFonts w:ascii="Times New Roman" w:cs="Times New Roman" w:eastAsia="Times New Roman" w:hAnsi="Times New Roman"/>
          <w:rtl w:val="0"/>
        </w:rPr>
        <w:t xml:space="preserve"> Kenya, Egypt, and Poland, in cooperation with UNHCR, WHO, UNICEF, and IFRC, to jointly develop and implement a comprehensive food hygiene management plan for conflict-related refugee camps and reception facilities by the end of 2026;</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1"/>
          <w:bCs w:val="1"/>
          <w:i w:val="1"/>
          <w:iCs w:val="1"/>
          <w:rtl w:val="0"/>
        </w:rPr>
        <w:t xml:space="preserve">Requests</w:t>
      </w:r>
      <w:r w:rsidDel="00000000" w:rsidR="00000000" w:rsidRPr="00000000">
        <w:rPr>
          <w:rFonts w:ascii="Times New Roman" w:cs="Times New Roman" w:eastAsia="Times New Roman" w:hAnsi="Times New Roman"/>
          <w:rtl w:val="0"/>
        </w:rPr>
        <w:t xml:space="preserve"> all member states to monitor the hygiene conditions of food distribution, storage, and preparation in camps and facilities using field checklists and monthly online reporting systems;</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1"/>
          <w:bCs w:val="1"/>
          <w:i w:val="1"/>
          <w:iCs w:val="1"/>
          <w:rtl w:val="0"/>
        </w:rPr>
        <w:t xml:space="preserve">Encourages</w:t>
      </w:r>
      <w:r w:rsidDel="00000000" w:rsidR="00000000" w:rsidRPr="00000000">
        <w:rPr>
          <w:rFonts w:ascii="Times New Roman" w:cs="Times New Roman" w:eastAsia="Times New Roman" w:hAnsi="Times New Roman"/>
          <w:rtl w:val="0"/>
        </w:rPr>
        <w:t xml:space="preserve"> the implementation of certified training programs for camp and facility staff and volunteers, in line with WHO food hygiene guidelines;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1"/>
          <w:bCs w:val="1"/>
          <w:i w:val="1"/>
          <w:iCs w:val="1"/>
          <w:rtl w:val="0"/>
        </w:rPr>
        <w:t xml:space="preserve">Urges</w:t>
      </w:r>
      <w:r w:rsidDel="00000000" w:rsidR="00000000" w:rsidRPr="00000000">
        <w:rPr>
          <w:rFonts w:ascii="Times New Roman" w:cs="Times New Roman" w:eastAsia="Times New Roman" w:hAnsi="Times New Roman"/>
          <w:rtl w:val="0"/>
        </w:rPr>
        <w:t xml:space="preserve"> collaboration with IFRC to ensure the provision of emergency hygiene supplies (e.g., water purification tablets, simple cooking equipment, handwashing soap) and track their distribution;</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1"/>
          <w:bCs w:val="1"/>
          <w:i w:val="1"/>
          <w:iCs w:val="1"/>
          <w:rtl w:val="0"/>
        </w:rPr>
        <w:t xml:space="preserve">Calls for</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support to countries facing capacity constraints, including Poland, to establish temporary shelters and facilitate refugee dispersal while maintaining hygiene standards;</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1"/>
          <w:bCs w:val="1"/>
          <w:i w:val="1"/>
          <w:iCs w:val="1"/>
          <w:rtl w:val="0"/>
        </w:rPr>
        <w:t xml:space="preserve">Encourages</w:t>
      </w:r>
      <w:r w:rsidDel="00000000" w:rsidR="00000000" w:rsidRPr="00000000">
        <w:rPr>
          <w:rFonts w:ascii="Times New Roman" w:cs="Times New Roman" w:eastAsia="Times New Roman" w:hAnsi="Times New Roman"/>
          <w:rtl w:val="0"/>
        </w:rPr>
        <w:t xml:space="preserve"> member states to share best practices on conflict-related refugee support, and to conduct an annual joint workshop focusing on training, hygiene, and material assistance;</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b w:val="1"/>
          <w:bCs w:val="1"/>
          <w:i w:val="1"/>
          <w:iCs w:val="1"/>
          <w:rtl w:val="0"/>
        </w:rPr>
        <w:t xml:space="preserve">Requests</w:t>
      </w:r>
      <w:r w:rsidDel="00000000" w:rsidR="00000000" w:rsidRPr="00000000">
        <w:rPr>
          <w:rFonts w:ascii="Times New Roman" w:cs="Times New Roman" w:eastAsia="Times New Roman" w:hAnsi="Times New Roman"/>
          <w:rtl w:val="0"/>
        </w:rPr>
        <w:t xml:space="preserve"> UNHCR, UNICEF, WHO, and IFRC to report progress every six months, and provide recommendations for further improvements;</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1"/>
          <w:bCs w:val="1"/>
          <w:i w:val="1"/>
          <w:iCs w:val="1"/>
          <w:rtl w:val="0"/>
        </w:rPr>
        <w:t xml:space="preserve">Encourages</w:t>
      </w:r>
      <w:r w:rsidDel="00000000" w:rsidR="00000000" w:rsidRPr="00000000">
        <w:rPr>
          <w:rFonts w:ascii="Times New Roman" w:cs="Times New Roman" w:eastAsia="Times New Roman" w:hAnsi="Times New Roman"/>
          <w:rtl w:val="0"/>
        </w:rPr>
        <w:t xml:space="preserve"> member states to ensure funding through CERF, voluntary contributions, NGO support, and technical assistance, with full transparency, to implement this resolution effectively.</w:t>
      </w:r>
      <w:r w:rsidDel="00000000" w:rsidR="00000000" w:rsidRPr="00000000">
        <w:rPr>
          <w:rtl w:val="0"/>
        </w:rPr>
      </w:r>
    </w:p>
    <w:sectPr>
      <w:headerReference r:id="rId8"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(A or B)</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3429B"/>
    <w:pPr>
      <w:tabs>
        <w:tab w:val="center" w:pos="4252"/>
        <w:tab w:val="right" w:pos="8504"/>
      </w:tabs>
      <w:snapToGrid w:val="0"/>
    </w:pPr>
  </w:style>
  <w:style w:type="character" w:styleId="a5" w:customStyle="1">
    <w:name w:val="ヘッダー (文字)"/>
    <w:basedOn w:val="a0"/>
    <w:link w:val="a4"/>
    <w:uiPriority w:val="99"/>
    <w:rsid w:val="00D3429B"/>
  </w:style>
  <w:style w:type="paragraph" w:styleId="a6">
    <w:name w:val="footer"/>
    <w:basedOn w:val="a"/>
    <w:link w:val="a7"/>
    <w:uiPriority w:val="99"/>
    <w:unhideWhenUsed w:val="1"/>
    <w:rsid w:val="00D3429B"/>
    <w:pPr>
      <w:tabs>
        <w:tab w:val="center" w:pos="4252"/>
        <w:tab w:val="right" w:pos="8504"/>
      </w:tabs>
      <w:snapToGrid w:val="0"/>
    </w:pPr>
  </w:style>
  <w:style w:type="character" w:styleId="a7" w:customStyle="1">
    <w:name w:val="フッター (文字)"/>
    <w:basedOn w:val="a0"/>
    <w:link w:val="a6"/>
    <w:uiPriority w:val="99"/>
    <w:rsid w:val="00D3429B"/>
  </w:style>
  <w:style w:type="paragraph" w:styleId="a8">
    <w:name w:val="List Paragraph"/>
    <w:basedOn w:val="a"/>
    <w:uiPriority w:val="34"/>
    <w:qFormat w:val="1"/>
    <w:rsid w:val="00C81283"/>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wSghAUW1mbKxZd4qNztXh8L2Q==">CgMxLjA4AHIhMTR1WmYwYXlzSEY1cUlQMEx4c3pOb0cxbUFsUWU2Uzhf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2023-12-30T05:48:00Z</dcterms:created>
  <dc:creator>持田　隼人</dc:creator>
</cp:coreProperties>
</file>