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3">
            <w:pPr>
              <w:widowControl w:val="0"/>
              <w:spacing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4">
            <w:pPr>
              <w:widowControl w:val="0"/>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6">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sz w:val="21"/>
                <w:szCs w:val="21"/>
                <w:rtl w:val="0"/>
              </w:rPr>
              <w:t xml:space="preserve">/80/</w:t>
            </w:r>
            <w:r w:rsidDel="00000000" w:rsidR="00000000" w:rsidRPr="00000000">
              <w:rPr>
                <w:rFonts w:ascii="Times New Roman" w:cs="Times New Roman" w:eastAsia="Times New Roman" w:hAnsi="Times New Roman"/>
                <w:b w:val="1"/>
                <w:bCs w:val="1"/>
                <w:color w:val="ff0000"/>
                <w:sz w:val="21"/>
                <w:szCs w:val="21"/>
                <w:rtl w:val="0"/>
              </w:rPr>
              <w:t xml:space="preserve">WP</w:t>
            </w:r>
            <w:r w:rsidDel="00000000" w:rsidR="00000000" w:rsidRPr="00000000">
              <w:rPr>
                <w:rFonts w:ascii="Times New Roman" w:cs="Times New Roman" w:eastAsia="Times New Roman" w:hAnsi="Times New Roman"/>
                <w:sz w:val="21"/>
                <w:szCs w:val="21"/>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A">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Distr.:General</w:t>
            </w:r>
          </w:p>
        </w:tc>
      </w:tr>
      <w:tr>
        <w:trPr>
          <w:cantSplit w:val="0"/>
          <w:trHeight w:val="153" w:hRule="atLeast"/>
          <w:tblHeader w:val="0"/>
        </w:trPr>
        <w:tc>
          <w:tcPr/>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C">
            <w:pPr>
              <w:widowControl w:val="0"/>
              <w:rPr>
                <w:rFonts w:ascii="Times New Roman" w:cs="Times New Roman" w:eastAsia="Times New Roman" w:hAnsi="Times New Roman"/>
                <w:sz w:val="21"/>
                <w:szCs w:val="21"/>
              </w:rPr>
            </w:pPr>
            <w:r w:rsidDel="00000000" w:rsidR="00000000" w:rsidRPr="00000000">
              <w:rPr>
                <w:rtl w:val="0"/>
              </w:rPr>
            </w:r>
          </w:p>
        </w:tc>
        <w:tc>
          <w:tcPr>
            <w:vAlign w:val="center"/>
          </w:tcPr>
          <w:p w:rsidR="00000000" w:rsidDel="00000000" w:rsidP="00000000" w:rsidRDefault="00000000" w:rsidRPr="00000000" w14:paraId="0000000D">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11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E">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00F">
            <w:pPr>
              <w:widowControl w:val="0"/>
              <w:rPr>
                <w:rFonts w:ascii="Times New Roman" w:cs="Times New Roman" w:eastAsia="Times New Roman" w:hAnsi="Times New Roman"/>
                <w:sz w:val="21"/>
                <w:szCs w:val="2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10">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Original: English</w:t>
            </w:r>
          </w:p>
        </w:tc>
      </w:tr>
    </w:tbl>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br w:type="textWrapping"/>
        <w:t xml:space="preserve">Eightieth Session</w:t>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Agenda item </w:t>
        <w:br w:type="textWrapping"/>
      </w:r>
      <w:r w:rsidDel="00000000" w:rsidR="00000000" w:rsidRPr="00000000">
        <w:rPr>
          <w:rFonts w:ascii="Times New Roman" w:cs="Times New Roman" w:eastAsia="Times New Roman" w:hAnsi="Times New Roman"/>
          <w:b w:val="1"/>
          <w:bCs w:val="1"/>
          <w:sz w:val="21"/>
          <w:szCs w:val="21"/>
          <w:rtl w:val="0"/>
        </w:rPr>
        <w:t xml:space="preserve">General Measures for Food Security Issues Caused by Conflict</w:t>
      </w:r>
    </w:p>
    <w:p w:rsidR="00000000" w:rsidDel="00000000" w:rsidP="00000000" w:rsidRDefault="00000000" w:rsidRPr="00000000" w14:paraId="00000013">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4">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Sponsors: Argentina, Brazil, </w:t>
      </w:r>
      <w:r w:rsidDel="00000000" w:rsidR="00000000" w:rsidRPr="00000000">
        <w:rPr>
          <w:rFonts w:ascii="Times New Roman" w:cs="Times New Roman" w:eastAsia="Times New Roman" w:hAnsi="Times New Roman"/>
          <w:sz w:val="21"/>
          <w:szCs w:val="21"/>
          <w:rtl w:val="0"/>
        </w:rPr>
        <w:t xml:space="preserve">Chile, Panama,</w:t>
      </w:r>
    </w:p>
    <w:p w:rsidR="00000000" w:rsidDel="00000000" w:rsidP="00000000" w:rsidRDefault="00000000" w:rsidRPr="00000000" w14:paraId="00000015">
      <w:pPr>
        <w:widowControl w:val="0"/>
        <w:spacing w:line="240" w:lineRule="auto"/>
        <w:jc w:val="both"/>
        <w:rPr>
          <w:rFonts w:ascii="Times New Roman" w:cs="Times New Roman" w:eastAsia="Times New Roman" w:hAnsi="Times New Roman"/>
          <w:i w:val="1"/>
          <w:iCs w:val="1"/>
          <w:sz w:val="21"/>
          <w:szCs w:val="21"/>
        </w:rPr>
      </w:pPr>
      <w:r w:rsidDel="00000000" w:rsidR="00000000" w:rsidRPr="00000000">
        <w:rPr>
          <w:rtl w:val="0"/>
        </w:rPr>
      </w:r>
    </w:p>
    <w:p w:rsidR="00000000" w:rsidDel="00000000" w:rsidP="00000000" w:rsidRDefault="00000000" w:rsidRPr="00000000" w14:paraId="00000016">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Recognizing </w:t>
      </w:r>
      <w:r w:rsidDel="00000000" w:rsidR="00000000" w:rsidRPr="00000000">
        <w:rPr>
          <w:rFonts w:ascii="Times New Roman" w:cs="Times New Roman" w:eastAsia="Times New Roman" w:hAnsi="Times New Roman"/>
          <w:sz w:val="21"/>
          <w:szCs w:val="21"/>
          <w:rtl w:val="0"/>
        </w:rPr>
        <w:t xml:space="preserve">that this is a Working Paper of South American nations, for the purpose of making public and widely known our stances and interests as the South American nations,</w:t>
      </w:r>
    </w:p>
    <w:p w:rsidR="00000000" w:rsidDel="00000000" w:rsidP="00000000" w:rsidRDefault="00000000" w:rsidRPr="00000000" w14:paraId="00000017">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Regretting</w:t>
      </w:r>
      <w:r w:rsidDel="00000000" w:rsidR="00000000" w:rsidRPr="00000000">
        <w:rPr>
          <w:rFonts w:ascii="Times New Roman" w:cs="Times New Roman" w:eastAsia="Times New Roman" w:hAnsi="Times New Roman"/>
          <w:sz w:val="20"/>
          <w:szCs w:val="20"/>
          <w:rtl w:val="0"/>
        </w:rPr>
        <w:t xml:space="preserve"> that in conflict-affected countries, many households and firms are smallholder farmers, who face a high degree of income uncertainty that affects the livelihoods and well-being of these populations,</w:t>
      </w:r>
    </w:p>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240" w:line="240" w:lineRule="auto"/>
        <w:rPr>
          <w:rFonts w:ascii="Times New Roman" w:cs="Times New Roman" w:eastAsia="Times New Roman" w:hAnsi="Times New Roman"/>
          <w:color w:val="031c2d"/>
          <w:sz w:val="20"/>
          <w:szCs w:val="20"/>
        </w:rPr>
      </w:pPr>
      <w:r w:rsidDel="00000000" w:rsidR="00000000" w:rsidRPr="00000000">
        <w:rPr>
          <w:rFonts w:ascii="Times New Roman" w:cs="Times New Roman" w:eastAsia="Times New Roman" w:hAnsi="Times New Roman"/>
          <w:i w:val="1"/>
          <w:iCs w:val="1"/>
          <w:color w:val="031c2d"/>
          <w:sz w:val="20"/>
          <w:szCs w:val="20"/>
          <w:rtl w:val="0"/>
        </w:rPr>
        <w:t xml:space="preserve">Noting</w:t>
      </w:r>
      <w:r w:rsidDel="00000000" w:rsidR="00000000" w:rsidRPr="00000000">
        <w:rPr>
          <w:rFonts w:ascii="Times New Roman" w:cs="Times New Roman" w:eastAsia="Times New Roman" w:hAnsi="Times New Roman"/>
          <w:color w:val="031c2d"/>
          <w:sz w:val="20"/>
          <w:szCs w:val="20"/>
          <w:rtl w:val="0"/>
        </w:rPr>
        <w:t xml:space="preserve"> its satisfaction that with the support of FAO and WFP, there are several examples of good farming practices being introduced that are better adapted to places formerly hit by crises  and that the sharing of them between countries is encouraged,</w:t>
      </w:r>
    </w:p>
    <w:p w:rsidR="00000000" w:rsidDel="00000000" w:rsidP="00000000" w:rsidRDefault="00000000" w:rsidRPr="00000000" w14:paraId="0000001B">
      <w:pPr>
        <w:spacing w:after="240" w:line="240" w:lineRule="auto"/>
        <w:rPr>
          <w:rFonts w:ascii="Times New Roman" w:cs="Times New Roman" w:eastAsia="Times New Roman" w:hAnsi="Times New Roman"/>
          <w:color w:val="031c2d"/>
          <w:sz w:val="20"/>
          <w:szCs w:val="20"/>
        </w:rPr>
      </w:pPr>
      <w:r w:rsidDel="00000000" w:rsidR="00000000" w:rsidRPr="00000000">
        <w:rPr>
          <w:rFonts w:ascii="Times New Roman" w:cs="Times New Roman" w:eastAsia="Times New Roman" w:hAnsi="Times New Roman"/>
          <w:i w:val="1"/>
          <w:iCs w:val="1"/>
          <w:color w:val="031c2d"/>
          <w:sz w:val="20"/>
          <w:szCs w:val="20"/>
          <w:rtl w:val="0"/>
        </w:rPr>
        <w:t xml:space="preserve">Recognizing</w:t>
      </w:r>
      <w:r w:rsidDel="00000000" w:rsidR="00000000" w:rsidRPr="00000000">
        <w:rPr>
          <w:rFonts w:ascii="Times New Roman" w:cs="Times New Roman" w:eastAsia="Times New Roman" w:hAnsi="Times New Roman"/>
          <w:color w:val="031c2d"/>
          <w:sz w:val="20"/>
          <w:szCs w:val="20"/>
          <w:rtl w:val="0"/>
        </w:rPr>
        <w:t xml:space="preserve"> the possibility that delivery of humanitarian assistance may be seriously hampered by the sheer length it needs to be carried, to rural areas,</w:t>
      </w:r>
    </w:p>
    <w:p w:rsidR="00000000" w:rsidDel="00000000" w:rsidP="00000000" w:rsidRDefault="00000000" w:rsidRPr="00000000" w14:paraId="0000001C">
      <w:pPr>
        <w:spacing w:after="240" w:line="240" w:lineRule="auto"/>
        <w:rPr>
          <w:rFonts w:ascii="Times New Roman" w:cs="Times New Roman" w:eastAsia="Times New Roman" w:hAnsi="Times New Roman"/>
          <w:color w:val="031c2d"/>
          <w:sz w:val="20"/>
          <w:szCs w:val="20"/>
        </w:rPr>
      </w:pPr>
      <w:r w:rsidDel="00000000" w:rsidR="00000000" w:rsidRPr="00000000">
        <w:rPr>
          <w:rFonts w:ascii="Times New Roman" w:cs="Times New Roman" w:eastAsia="Times New Roman" w:hAnsi="Times New Roman"/>
          <w:i w:val="1"/>
          <w:iCs w:val="1"/>
          <w:color w:val="031c2d"/>
          <w:sz w:val="20"/>
          <w:szCs w:val="20"/>
          <w:rtl w:val="0"/>
        </w:rPr>
        <w:t xml:space="preserve">Deploring </w:t>
      </w:r>
      <w:r w:rsidDel="00000000" w:rsidR="00000000" w:rsidRPr="00000000">
        <w:rPr>
          <w:rFonts w:ascii="Times New Roman" w:cs="Times New Roman" w:eastAsia="Times New Roman" w:hAnsi="Times New Roman"/>
          <w:color w:val="031c2d"/>
          <w:sz w:val="20"/>
          <w:szCs w:val="20"/>
          <w:rtl w:val="0"/>
        </w:rPr>
        <w:t xml:space="preserve">that the domestic production of food can be seriously hampered by armed conflict, in correlation to imports, exports, especially of fertilizers,</w:t>
      </w:r>
    </w:p>
    <w:p w:rsidR="00000000" w:rsidDel="00000000" w:rsidP="00000000" w:rsidRDefault="00000000" w:rsidRPr="00000000" w14:paraId="0000001D">
      <w:pPr>
        <w:spacing w:line="240" w:lineRule="auto"/>
        <w:rPr>
          <w:rFonts w:ascii="Times New Roman" w:cs="Times New Roman" w:eastAsia="Times New Roman" w:hAnsi="Times New Roman"/>
          <w:color w:val="262626"/>
          <w:sz w:val="20"/>
          <w:szCs w:val="20"/>
        </w:rPr>
      </w:pPr>
      <w:r w:rsidDel="00000000" w:rsidR="00000000" w:rsidRPr="00000000">
        <w:rPr>
          <w:rFonts w:ascii="Times New Roman" w:cs="Times New Roman" w:eastAsia="Times New Roman" w:hAnsi="Times New Roman"/>
          <w:i w:val="1"/>
          <w:iCs w:val="1"/>
          <w:color w:val="262626"/>
          <w:sz w:val="20"/>
          <w:szCs w:val="20"/>
          <w:rtl w:val="0"/>
        </w:rPr>
        <w:t xml:space="preserve">Recognizing</w:t>
      </w:r>
      <w:r w:rsidDel="00000000" w:rsidR="00000000" w:rsidRPr="00000000">
        <w:rPr>
          <w:rFonts w:ascii="Times New Roman" w:cs="Times New Roman" w:eastAsia="Times New Roman" w:hAnsi="Times New Roman"/>
          <w:color w:val="262626"/>
          <w:sz w:val="20"/>
          <w:szCs w:val="20"/>
          <w:rtl w:val="0"/>
        </w:rPr>
        <w:t xml:space="preserve"> that every food crisis is distinctive, based on local factors including the nature of the conflict, geography, and the size of the impacted population, and that each nation has different needs that they must domestically cater to,</w:t>
      </w:r>
    </w:p>
    <w:p w:rsidR="00000000" w:rsidDel="00000000" w:rsidP="00000000" w:rsidRDefault="00000000" w:rsidRPr="00000000" w14:paraId="0000001E">
      <w:pPr>
        <w:spacing w:line="240" w:lineRule="auto"/>
        <w:rPr>
          <w:rFonts w:ascii="Times New Roman" w:cs="Times New Roman" w:eastAsia="Times New Roman" w:hAnsi="Times New Roman"/>
          <w:color w:val="262626"/>
          <w:sz w:val="20"/>
          <w:szCs w:val="20"/>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color w:val="262626"/>
          <w:sz w:val="20"/>
          <w:szCs w:val="20"/>
        </w:rPr>
      </w:pPr>
      <w:r w:rsidDel="00000000" w:rsidR="00000000" w:rsidRPr="00000000">
        <w:rPr>
          <w:rFonts w:ascii="Times New Roman" w:cs="Times New Roman" w:eastAsia="Times New Roman" w:hAnsi="Times New Roman"/>
          <w:i w:val="1"/>
          <w:iCs w:val="1"/>
          <w:sz w:val="20"/>
          <w:szCs w:val="20"/>
          <w:rtl w:val="0"/>
        </w:rPr>
        <w:t xml:space="preserve">Regretting</w:t>
      </w:r>
      <w:r w:rsidDel="00000000" w:rsidR="00000000" w:rsidRPr="00000000">
        <w:rPr>
          <w:rFonts w:ascii="Times New Roman" w:cs="Times New Roman" w:eastAsia="Times New Roman" w:hAnsi="Times New Roman"/>
          <w:sz w:val="20"/>
          <w:szCs w:val="20"/>
          <w:rtl w:val="0"/>
        </w:rPr>
        <w:t xml:space="preserve"> that in conflict-affected countries, many households and firms are smallholder farmers, who face a high degree of income uncertainty that affects the livelihoods and well-being of these populations,</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color w:val="262626"/>
          <w:sz w:val="20"/>
          <w:szCs w:val="20"/>
        </w:rPr>
      </w:pPr>
      <w:r w:rsidDel="00000000" w:rsidR="00000000" w:rsidRPr="00000000">
        <w:rPr>
          <w:rtl w:val="0"/>
        </w:rPr>
      </w:r>
    </w:p>
    <w:p w:rsidR="00000000" w:rsidDel="00000000" w:rsidP="00000000" w:rsidRDefault="00000000" w:rsidRPr="00000000" w14:paraId="00000021">
      <w:pPr>
        <w:spacing w:after="240" w:line="240" w:lineRule="auto"/>
        <w:rPr>
          <w:rFonts w:ascii="Times New Roman" w:cs="Times New Roman" w:eastAsia="Times New Roman" w:hAnsi="Times New Roman"/>
          <w:color w:val="031c2d"/>
          <w:sz w:val="20"/>
          <w:szCs w:val="20"/>
        </w:rPr>
      </w:pPr>
      <w:r w:rsidDel="00000000" w:rsidR="00000000" w:rsidRPr="00000000">
        <w:rPr>
          <w:rFonts w:ascii="Times New Roman" w:cs="Times New Roman" w:eastAsia="Times New Roman" w:hAnsi="Times New Roman"/>
          <w:i w:val="1"/>
          <w:iCs w:val="1"/>
          <w:color w:val="031c2d"/>
          <w:sz w:val="20"/>
          <w:szCs w:val="20"/>
          <w:rtl w:val="0"/>
        </w:rPr>
        <w:t xml:space="preserve">Deploring </w:t>
      </w:r>
      <w:r w:rsidDel="00000000" w:rsidR="00000000" w:rsidRPr="00000000">
        <w:rPr>
          <w:rFonts w:ascii="Times New Roman" w:cs="Times New Roman" w:eastAsia="Times New Roman" w:hAnsi="Times New Roman"/>
          <w:color w:val="031c2d"/>
          <w:sz w:val="20"/>
          <w:szCs w:val="20"/>
          <w:rtl w:val="0"/>
        </w:rPr>
        <w:t xml:space="preserve">that people must flee from their homelands in some cases of armed conflict, and that the food security of the host community as well as those who have fled there may be threatened,</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i w:val="1"/>
          <w:iCs w:val="1"/>
          <w:sz w:val="21"/>
          <w:szCs w:val="21"/>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720" w:right="-820.393700787401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with the capacity to do so to reach out financial, technical, and humanitarian aid for host communities that are providers of relief despite already limited resources, through the FAO;    </w:t>
      </w:r>
    </w:p>
    <w:p w:rsidR="00000000" w:rsidDel="00000000" w:rsidP="00000000" w:rsidRDefault="00000000" w:rsidRPr="00000000" w14:paraId="00000024">
      <w:pPr>
        <w:spacing w:line="240" w:lineRule="auto"/>
        <w:ind w:right="-820.393700787401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Recommends</w:t>
      </w:r>
      <w:r w:rsidDel="00000000" w:rsidR="00000000" w:rsidRPr="00000000">
        <w:rPr>
          <w:rFonts w:ascii="Times New Roman" w:cs="Times New Roman" w:eastAsia="Times New Roman" w:hAnsi="Times New Roman"/>
          <w:sz w:val="20"/>
          <w:szCs w:val="20"/>
          <w:rtl w:val="0"/>
        </w:rPr>
        <w:t xml:space="preserve"> Member States to each domestically establish a centralized crisis management framework, taking the shape of a national food security council or crisis management body to better coordinate efforts among the government, FAO, WFP, IFAD, and other relevant actors, conducting operations for crisis preparedness, response strategies, and post-crisis recovery plans;</w:t>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Member States to share agricultural knowledge through AGRIS under the FAO, particularly concerning self sustaining fertilizers, sustainable farming mechanisms, and potential technology that could help conflict resistance to allow for food security and does not compromise livelihoods in the medium and longer term;</w:t>
      </w:r>
    </w:p>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IFAD to commit to aid specifically for small-scale agriculture to protect them from the following impacts that may force farmers to abandon agriculture altogether, as conflict can detrimentally have on agriculture, including post-conflict support, paying sincere attention to sustain the aid at a level that could enable independence, thorough keeping to aiding solely what is needed, and ascertain the appropriate timing to stop aid through monitoring:</w:t>
      </w:r>
    </w:p>
    <w:p w:rsidR="00000000" w:rsidDel="00000000" w:rsidP="00000000" w:rsidRDefault="00000000" w:rsidRPr="00000000" w14:paraId="0000002A">
      <w:pPr>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destruction (e.g., bombing) or contamination (e.g., land mines, chemical weapons) of agricultural areas, as well as infrastructure (irrigation networks, roads, bridges, buildings, etc.), that may force farmers to abandon agriculture altogether,</w:t>
      </w:r>
    </w:p>
    <w:p w:rsidR="00000000" w:rsidDel="00000000" w:rsidP="00000000" w:rsidRDefault="00000000" w:rsidRPr="00000000" w14:paraId="0000002B">
      <w:pPr>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lack of access to seeds and fertiliser, credits and capital, due to the uncertainty of access to buyers and markets and the displacement or killing of people;</w:t>
      </w:r>
    </w:p>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Member States to implement the following measures for the prevention of food insecurity in terms of production that arises from conflicts taking place:</w:t>
      </w:r>
    </w:p>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numPr>
          <w:ilvl w:val="0"/>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investment in local infrastructure,</w:t>
      </w:r>
    </w:p>
    <w:p w:rsidR="00000000" w:rsidDel="00000000" w:rsidP="00000000" w:rsidRDefault="00000000" w:rsidRPr="00000000" w14:paraId="00000031">
      <w:pPr>
        <w:numPr>
          <w:ilvl w:val="0"/>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sustainable developmental programs,</w:t>
      </w:r>
    </w:p>
    <w:p w:rsidR="00000000" w:rsidDel="00000000" w:rsidP="00000000" w:rsidRDefault="00000000" w:rsidRPr="00000000" w14:paraId="00000032">
      <w:pPr>
        <w:numPr>
          <w:ilvl w:val="0"/>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education and job training in agriculture;</w:t>
      </w:r>
    </w:p>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spacing w:after="780" w:before="32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the WFP to make an effort to hold small reserves of food aid in different, hard to access, regions, to cope with transport difficulties often delaying arrival of food shipments.</w:t>
      </w:r>
    </w:p>
    <w:p w:rsidR="00000000" w:rsidDel="00000000" w:rsidP="00000000" w:rsidRDefault="00000000" w:rsidRPr="00000000" w14:paraId="00000035">
      <w:pPr>
        <w:spacing w:line="240" w:lineRule="auto"/>
        <w:rPr>
          <w:rFonts w:ascii="Times New Roman" w:cs="Times New Roman" w:eastAsia="Times New Roman" w:hAnsi="Times New Roman"/>
          <w:sz w:val="20"/>
          <w:szCs w:val="20"/>
          <w:shd w:fill="f4cccc" w:val="clear"/>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Fonts w:ascii="Times New Roman" w:cs="Times New Roman" w:eastAsia="Times New Roman" w:hAnsi="Times New Roman"/>
          <w:sz w:val="20"/>
          <w:szCs w:val="20"/>
          <w:shd w:fill="f4cccc" w:val="clear"/>
          <w:rtl w:val="0"/>
        </w:rPr>
        <w:t xml:space="preserve"> </w:t>
      </w:r>
      <w:r w:rsidDel="00000000" w:rsidR="00000000" w:rsidRPr="00000000">
        <w:rPr>
          <w:rtl w:val="0"/>
        </w:rPr>
      </w:r>
    </w:p>
    <w:sectPr>
      <w:pgSz w:h="16834" w:w="11909" w:orient="portrait"/>
      <w:pgMar w:bottom="1440.0000000000002" w:top="0"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