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p w:rsidR="00000000" w:rsidDel="00000000" w:rsidP="00000000" w:rsidRDefault="00000000" w:rsidRPr="00000000" w14:paraId="00000002">
      <w:pPr>
        <w:widowControl w:val="0"/>
        <w:spacing w:line="276" w:lineRule="auto"/>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3">
            <w:pPr>
              <w:widowControl w:val="0"/>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5">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sz w:val="21"/>
                <w:szCs w:val="21"/>
                <w:rtl w:val="0"/>
              </w:rPr>
              <w:t xml:space="preserve">/80/</w:t>
            </w:r>
            <w:r w:rsidDel="00000000" w:rsidR="00000000" w:rsidRPr="00000000">
              <w:rPr>
                <w:rFonts w:ascii="Times New Roman" w:cs="Times New Roman" w:eastAsia="Times New Roman" w:hAnsi="Times New Roman"/>
                <w:b w:val="1"/>
                <w:bCs w:val="1"/>
                <w:color w:val="ff0000"/>
                <w:sz w:val="21"/>
                <w:szCs w:val="21"/>
                <w:rtl w:val="0"/>
              </w:rPr>
              <w:t xml:space="preserve">WP</w:t>
            </w:r>
            <w:r w:rsidDel="00000000" w:rsidR="00000000" w:rsidRPr="00000000">
              <w:rPr>
                <w:rFonts w:ascii="Times New Roman" w:cs="Times New Roman" w:eastAsia="Times New Roman" w:hAnsi="Times New Roman"/>
                <w:sz w:val="21"/>
                <w:szCs w:val="21"/>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8">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9">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Distr.:General</w:t>
            </w:r>
          </w:p>
        </w:tc>
      </w:tr>
      <w:tr>
        <w:trPr>
          <w:cantSplit w:val="0"/>
          <w:trHeight w:val="153" w:hRule="atLeast"/>
          <w:tblHeader w:val="0"/>
        </w:trPr>
        <w:tc>
          <w:tcPr/>
          <w:p w:rsidR="00000000" w:rsidDel="00000000" w:rsidP="00000000" w:rsidRDefault="00000000" w:rsidRPr="00000000" w14:paraId="0000000A">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B">
            <w:pPr>
              <w:widowControl w:val="0"/>
              <w:rPr>
                <w:rFonts w:ascii="Times New Roman" w:cs="Times New Roman" w:eastAsia="Times New Roman" w:hAnsi="Times New Roman"/>
                <w:sz w:val="21"/>
                <w:szCs w:val="21"/>
              </w:rPr>
            </w:pPr>
            <w:r w:rsidDel="00000000" w:rsidR="00000000" w:rsidRPr="00000000">
              <w:rPr>
                <w:rtl w:val="0"/>
              </w:rPr>
            </w:r>
          </w:p>
        </w:tc>
        <w:tc>
          <w:tcPr>
            <w:vAlign w:val="center"/>
          </w:tcPr>
          <w:p w:rsidR="00000000" w:rsidDel="00000000" w:rsidP="00000000" w:rsidRDefault="00000000" w:rsidRPr="00000000" w14:paraId="0000000C">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D">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00E">
            <w:pPr>
              <w:widowControl w:val="0"/>
              <w:rPr>
                <w:rFonts w:ascii="Times New Roman" w:cs="Times New Roman" w:eastAsia="Times New Roman" w:hAnsi="Times New Roman"/>
                <w:sz w:val="21"/>
                <w:szCs w:val="2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F">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Original: English</w:t>
            </w:r>
          </w:p>
        </w:tc>
      </w:tr>
    </w:tbl>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br w:type="textWrapping"/>
        <w:t xml:space="preserve">Eightieth Session</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Agenda item XX</w:t>
        <w:br w:type="textWrapping"/>
      </w:r>
      <w:r w:rsidDel="00000000" w:rsidR="00000000" w:rsidRPr="00000000">
        <w:rPr>
          <w:rFonts w:ascii="Times New Roman" w:cs="Times New Roman" w:eastAsia="Times New Roman" w:hAnsi="Times New Roman"/>
          <w:b w:val="1"/>
          <w:bCs w:val="1"/>
          <w:sz w:val="21"/>
          <w:szCs w:val="21"/>
          <w:rtl w:val="0"/>
        </w:rPr>
        <w:t xml:space="preserve">General Measures for Food Security Issues Caused by Conflict</w:t>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Sponsors: Australia, Azerbaijan, Brazil, Canada, Chile, France, Germany, Greece, Israel, Kazakhstan, Malaysia, Netherlands, Norway, Panama, Poland, Singapore, Spain, Sweden, United Kingdom, United States of America, </w:t>
      </w:r>
    </w:p>
    <w:p w:rsidR="00000000" w:rsidDel="00000000" w:rsidP="00000000" w:rsidRDefault="00000000" w:rsidRPr="00000000" w14:paraId="00000014">
      <w:pPr>
        <w:spacing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i w:val="1"/>
          <w:iCs w:val="1"/>
          <w:sz w:val="21"/>
          <w:szCs w:val="21"/>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 the International Humanitarian Law (IHL) prohibits destroying stocks, livestock, and blocking relief systems, </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color w:val="262626"/>
          <w:sz w:val="20"/>
          <w:szCs w:val="20"/>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exposure to conflict may directly shape food security, but also interact with other fluctuations, such as those in prices, governance, and climatic conditions,</w:t>
      </w:r>
    </w:p>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Believing</w:t>
      </w:r>
      <w:r w:rsidDel="00000000" w:rsidR="00000000" w:rsidRPr="00000000">
        <w:rPr>
          <w:rFonts w:ascii="Times New Roman" w:cs="Times New Roman" w:eastAsia="Times New Roman" w:hAnsi="Times New Roman"/>
          <w:sz w:val="20"/>
          <w:szCs w:val="20"/>
          <w:rtl w:val="0"/>
        </w:rPr>
        <w:t xml:space="preserve"> a comprehensive assessment of the climate surrounding humanitarian corridors would greatly aid in ensuring the long-term security of the humanitarian corridor,</w:t>
      </w:r>
    </w:p>
    <w:p w:rsidR="00000000" w:rsidDel="00000000" w:rsidP="00000000" w:rsidRDefault="00000000" w:rsidRPr="00000000" w14:paraId="0000001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to create an effective humanitarian corridor, there needs to be clear knowledge of the current situation of the region in which the humanitarian corridor is going to be created,  </w:t>
      </w:r>
    </w:p>
    <w:p w:rsidR="00000000" w:rsidDel="00000000" w:rsidP="00000000" w:rsidRDefault="00000000" w:rsidRPr="00000000" w14:paraId="0000001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Appreciating</w:t>
      </w:r>
      <w:r w:rsidDel="00000000" w:rsidR="00000000" w:rsidRPr="00000000">
        <w:rPr>
          <w:rFonts w:ascii="Times New Roman" w:cs="Times New Roman" w:eastAsia="Times New Roman" w:hAnsi="Times New Roman"/>
          <w:sz w:val="20"/>
          <w:szCs w:val="20"/>
          <w:rtl w:val="0"/>
        </w:rPr>
        <w:t xml:space="preserve"> the World Food Program (WFP) and all of the efforts it has made to effectively create a more food-secure world,</w:t>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Appreciating</w:t>
      </w:r>
      <w:r w:rsidDel="00000000" w:rsidR="00000000" w:rsidRPr="00000000">
        <w:rPr>
          <w:rFonts w:ascii="Times New Roman" w:cs="Times New Roman" w:eastAsia="Times New Roman" w:hAnsi="Times New Roman"/>
          <w:sz w:val="20"/>
          <w:szCs w:val="20"/>
          <w:rtl w:val="0"/>
        </w:rPr>
        <w:t xml:space="preserve"> the Food and Agriculture Organization (FAO) and all of the efforts it has made to effectively create a more food-secure world,</w:t>
      </w:r>
    </w:p>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effectiveness of humanitarian corridors as urgent aid, and also their room for improvement,</w:t>
      </w:r>
    </w:p>
    <w:p w:rsidR="00000000" w:rsidDel="00000000" w:rsidP="00000000" w:rsidRDefault="00000000" w:rsidRPr="00000000" w14:paraId="0000002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that humanitarian assessments and needs monitoring in conflict-stricken areas are protected activities under IHL, advocating for safe access guarantees for UN agencies and partners, creating a political and legal pressure to allow for assessments,</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to establish humanitarian corridors when there is a dire situation, so to protect the food security of those in conflict-stricken zones, mainly addressing access to food and therefore preventing famine, leading to the protection of food systems and stability,</w:t>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 </w:t>
      </w:r>
      <w:r w:rsidDel="00000000" w:rsidR="00000000" w:rsidRPr="00000000">
        <w:rPr>
          <w:rFonts w:ascii="Times New Roman" w:cs="Times New Roman" w:eastAsia="Times New Roman" w:hAnsi="Times New Roman"/>
          <w:sz w:val="20"/>
          <w:szCs w:val="20"/>
          <w:rtl w:val="0"/>
        </w:rPr>
        <w:t xml:space="preserve">the WFP to utilize the established monitoring systems in humanitarian corridors to identify operational obstacles as well as to ensure the humanitarian corridor is not   being used for malicious intent through methods such as politicization and manipulation,</w:t>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780" w:before="32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crucial role of humanitarian assistance for those in war-stricken zones, including but never restricted to those delivered through humanitarian corridors, and for the FAO to cooperate with the WFP on the situations of the participating humanitarian group, to ensure that the food aid will also have an emphasis on to ensure that the food aid will be nutritious, for food security.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7" w:type="default"/>
      <w:headerReference r:id="rId8" w:type="first"/>
      <w:footerReference r:id="rId9" w:type="first"/>
      <w:pgSz w:h="16834" w:w="11909" w:orient="portrait"/>
      <w:pgMar w:bottom="1440.0000000000002" w:top="0" w:left="1440.0000000000002" w:right="1440.0000000000002" w:header="566.929133858267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sz w:val="58"/>
        <w:szCs w:val="58"/>
      </w:rPr>
    </w:pPr>
    <w:r w:rsidDel="00000000" w:rsidR="00000000" w:rsidRPr="00000000">
      <w:rPr/>
      <w:drawing>
        <wp:inline distB="114300" distT="114300" distL="114300" distR="114300">
          <wp:extent cx="614363" cy="6143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4363" cy="61436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drawing>
        <wp:inline distB="114300" distT="114300" distL="114300" distR="114300">
          <wp:extent cx="538163" cy="538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163" cy="538163"/>
                  </a:xfrm>
                  <a:prstGeom prst="rect"/>
                  <a:ln/>
                </pic:spPr>
              </pic:pic>
            </a:graphicData>
          </a:graphic>
        </wp:inline>
      </w:drawing>
    </w:r>
    <w:r w:rsidDel="00000000" w:rsidR="00000000" w:rsidRPr="00000000">
      <w:rPr>
        <w:sz w:val="58"/>
        <w:szCs w:val="58"/>
        <w:rtl w:val="0"/>
      </w:rPr>
      <w:t xml:space="preserve">JEIMUN2026 Working Memo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