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386"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-86329</wp:posOffset>
                  </wp:positionH>
                  <wp:positionV relativeFrom="paragraph">
                    <wp:posOffset>-239389</wp:posOffset>
                  </wp:positionV>
                  <wp:extent cx="734886" cy="691085"/>
                  <wp:effectExtent b="0" l="0" r="0" t="0"/>
                  <wp:wrapNone/>
                  <wp:docPr id="118652205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January, 2024</w:t>
            </w:r>
          </w:p>
        </w:tc>
      </w:tr>
      <w:tr>
        <w:trPr>
          <w:cantSplit w:val="0"/>
          <w:trHeight w:val="165"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Eightieth Session</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Caused by Conflict</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Main Submitter: </w:t>
      </w:r>
      <w:r w:rsidDel="00000000" w:rsidR="00000000" w:rsidRPr="00000000">
        <w:rPr>
          <w:rFonts w:ascii="Times New Roman" w:cs="Times New Roman" w:eastAsia="Times New Roman" w:hAnsi="Times New Roman"/>
          <w:i w:val="1"/>
          <w:iCs w:val="1"/>
          <w:rtl w:val="0"/>
        </w:rPr>
        <w:t xml:space="preserve">Japan</w:t>
      </w:r>
    </w:p>
    <w:p w:rsidR="00000000" w:rsidDel="00000000" w:rsidP="00000000" w:rsidRDefault="00000000" w:rsidRPr="00000000" w14:paraId="00000015">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Sponsors: </w:t>
      </w:r>
      <w:r w:rsidDel="00000000" w:rsidR="00000000" w:rsidRPr="00000000">
        <w:rPr>
          <w:rFonts w:ascii="Times New Roman" w:cs="Times New Roman" w:eastAsia="Times New Roman" w:hAnsi="Times New Roman"/>
          <w:i w:val="1"/>
          <w:iCs w:val="1"/>
          <w:rtl w:val="0"/>
        </w:rPr>
        <w:t xml:space="preserve">Malaysia, Morocco, China, Myanmar, Russia, Kazakhstan </w:t>
      </w:r>
    </w:p>
    <w:p w:rsidR="00000000" w:rsidDel="00000000" w:rsidP="00000000" w:rsidRDefault="00000000" w:rsidRPr="00000000" w14:paraId="00000016">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Chad</w:t>
      </w:r>
    </w:p>
    <w:p w:rsidR="00000000" w:rsidDel="00000000" w:rsidP="00000000" w:rsidRDefault="00000000" w:rsidRPr="00000000" w14:paraId="00000018">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The General Assembly</w:t>
      </w:r>
      <w:r w:rsidDel="00000000" w:rsidR="00000000" w:rsidRPr="00000000">
        <w:rPr>
          <w:rFonts w:ascii="Times New Roman" w:cs="Times New Roman" w:eastAsia="Times New Roman" w:hAnsi="Times New Roman"/>
          <w:sz w:val="21.119998931884766"/>
          <w:szCs w:val="21.119998931884766"/>
          <w:rtl w:val="0"/>
        </w:rPr>
        <w:t xml:space="preserve">, </w:t>
      </w:r>
    </w:p>
    <w:p w:rsidR="00000000" w:rsidDel="00000000" w:rsidP="00000000" w:rsidRDefault="00000000" w:rsidRPr="00000000" w14:paraId="0000001A">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Deeply concerned</w:t>
      </w:r>
      <w:r w:rsidDel="00000000" w:rsidR="00000000" w:rsidRPr="00000000">
        <w:rPr>
          <w:rFonts w:ascii="Times New Roman" w:cs="Times New Roman" w:eastAsia="Times New Roman" w:hAnsi="Times New Roman"/>
          <w:sz w:val="21.119998931884766"/>
          <w:szCs w:val="21.119998931884766"/>
          <w:rtl w:val="0"/>
        </w:rPr>
        <w:t xml:space="preserve"> by the devastating impact of armed conflict on food systems, which destroys farmland, irrigation infrastructure, and transportation networks, thereby eroding rural livelihoods and driving dependence on food imports,</w:t>
      </w:r>
    </w:p>
    <w:p w:rsidR="00000000" w:rsidDel="00000000" w:rsidP="00000000" w:rsidRDefault="00000000" w:rsidRPr="00000000" w14:paraId="0000001B">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Recalling</w:t>
      </w:r>
      <w:r w:rsidDel="00000000" w:rsidR="00000000" w:rsidRPr="00000000">
        <w:rPr>
          <w:rFonts w:ascii="Times New Roman" w:cs="Times New Roman" w:eastAsia="Times New Roman" w:hAnsi="Times New Roman"/>
          <w:sz w:val="21.119998931884766"/>
          <w:szCs w:val="21.119998931884766"/>
          <w:rtl w:val="0"/>
        </w:rPr>
        <w:t xml:space="preserve"> United Nations Security Council Resolution 2417 (2018), which condemns the starving of civilians as a method of warfare and the unlawful denial of humanitarian access to civilian populations,</w:t>
      </w:r>
    </w:p>
    <w:p w:rsidR="00000000" w:rsidDel="00000000" w:rsidP="00000000" w:rsidRDefault="00000000" w:rsidRPr="00000000" w14:paraId="0000001C">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Alarmed</w:t>
      </w:r>
      <w:r w:rsidDel="00000000" w:rsidR="00000000" w:rsidRPr="00000000">
        <w:rPr>
          <w:rFonts w:ascii="Times New Roman" w:cs="Times New Roman" w:eastAsia="Times New Roman" w:hAnsi="Times New Roman"/>
          <w:sz w:val="21.119998931884766"/>
          <w:szCs w:val="21.119998931884766"/>
          <w:rtl w:val="0"/>
        </w:rPr>
        <w:t xml:space="preserve"> by the ripple effects of conflict on global supply chains and maritime trade routes, which cause severe price volatility and inflation in nations far removed from active combat zones, particularly affecting import-dependent and transit countries,</w:t>
      </w:r>
    </w:p>
    <w:p w:rsidR="00000000" w:rsidDel="00000000" w:rsidP="00000000" w:rsidRDefault="00000000" w:rsidRPr="00000000" w14:paraId="0000001D">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Recognizing</w:t>
      </w:r>
      <w:r w:rsidDel="00000000" w:rsidR="00000000" w:rsidRPr="00000000">
        <w:rPr>
          <w:rFonts w:ascii="Times New Roman" w:cs="Times New Roman" w:eastAsia="Times New Roman" w:hAnsi="Times New Roman"/>
          <w:sz w:val="21.119998931884766"/>
          <w:szCs w:val="21.119998931884766"/>
          <w:rtl w:val="0"/>
        </w:rPr>
        <w:t xml:space="preserve"> that food insecurity acts as a "fragility trap," where hunger fuels instability and instability fuels further hunger, creating a cycle that threatens national sovereignty and regional peace,</w:t>
      </w:r>
    </w:p>
    <w:p w:rsidR="00000000" w:rsidDel="00000000" w:rsidP="00000000" w:rsidRDefault="00000000" w:rsidRPr="00000000" w14:paraId="0000001E">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Emphasizing</w:t>
      </w:r>
      <w:r w:rsidDel="00000000" w:rsidR="00000000" w:rsidRPr="00000000">
        <w:rPr>
          <w:rFonts w:ascii="Times New Roman" w:cs="Times New Roman" w:eastAsia="Times New Roman" w:hAnsi="Times New Roman"/>
          <w:sz w:val="21.119998931884766"/>
          <w:szCs w:val="21.119998931884766"/>
          <w:rtl w:val="0"/>
        </w:rPr>
        <w:t xml:space="preserve"> the critical need to protect humanitarian corridors and ensure the safety of aid workers to guarantee the uninterrupted delivery of essential supplies to conflict-affected populations,</w:t>
      </w:r>
    </w:p>
    <w:p w:rsidR="00000000" w:rsidDel="00000000" w:rsidP="00000000" w:rsidRDefault="00000000" w:rsidRPr="00000000" w14:paraId="0000001F">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Noting with regret</w:t>
      </w:r>
      <w:r w:rsidDel="00000000" w:rsidR="00000000" w:rsidRPr="00000000">
        <w:rPr>
          <w:rFonts w:ascii="Times New Roman" w:cs="Times New Roman" w:eastAsia="Times New Roman" w:hAnsi="Times New Roman"/>
          <w:sz w:val="21.119998931884766"/>
          <w:szCs w:val="21.119998931884766"/>
          <w:rtl w:val="0"/>
        </w:rPr>
        <w:t xml:space="preserve"> that women and children disproportionately bear the burden of malnutrition in conflict settings, necessitating targeted policies such as nutrition education and maternal health support,</w:t>
      </w:r>
    </w:p>
    <w:p w:rsidR="00000000" w:rsidDel="00000000" w:rsidP="00000000" w:rsidRDefault="00000000" w:rsidRPr="00000000" w14:paraId="00000020">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Cognizant</w:t>
      </w:r>
      <w:r w:rsidDel="00000000" w:rsidR="00000000" w:rsidRPr="00000000">
        <w:rPr>
          <w:rFonts w:ascii="Times New Roman" w:cs="Times New Roman" w:eastAsia="Times New Roman" w:hAnsi="Times New Roman"/>
          <w:sz w:val="21.119998931884766"/>
          <w:szCs w:val="21.119998931884766"/>
          <w:rtl w:val="0"/>
        </w:rPr>
        <w:t xml:space="preserve"> of the compounding threat of climate change, which exacerbates food shortages in conflict zones through droughts and floods, rendering agricultural recovery more difficult,</w:t>
      </w:r>
    </w:p>
    <w:p w:rsidR="00000000" w:rsidDel="00000000" w:rsidP="00000000" w:rsidRDefault="00000000" w:rsidRPr="00000000" w14:paraId="00000021">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Affirming</w:t>
      </w:r>
      <w:r w:rsidDel="00000000" w:rsidR="00000000" w:rsidRPr="00000000">
        <w:rPr>
          <w:rFonts w:ascii="Times New Roman" w:cs="Times New Roman" w:eastAsia="Times New Roman" w:hAnsi="Times New Roman"/>
          <w:sz w:val="21.119998931884766"/>
          <w:szCs w:val="21.119998931884766"/>
          <w:rtl w:val="0"/>
        </w:rPr>
        <w:t xml:space="preserve"> the necessity of shifting from short-term emergency relief to long-term resilience, including the clearing of landmines to restore arable land and the localization of food production to reduce dependency on external aid,</w:t>
      </w:r>
    </w:p>
    <w:p w:rsidR="00000000" w:rsidDel="00000000" w:rsidP="00000000" w:rsidRDefault="00000000" w:rsidRPr="00000000" w14:paraId="00000022">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Encouraging</w:t>
      </w:r>
      <w:r w:rsidDel="00000000" w:rsidR="00000000" w:rsidRPr="00000000">
        <w:rPr>
          <w:rFonts w:ascii="Times New Roman" w:cs="Times New Roman" w:eastAsia="Times New Roman" w:hAnsi="Times New Roman"/>
          <w:sz w:val="21.119998931884766"/>
          <w:szCs w:val="21.119998931884766"/>
          <w:rtl w:val="0"/>
        </w:rPr>
        <w:t xml:space="preserve"> international cooperation and data-sharing to strengthen early warning systems, allowing the international community to anticipate and mitigate food crises before they escalate,</w:t>
      </w:r>
    </w:p>
    <w:p w:rsidR="00000000" w:rsidDel="00000000" w:rsidP="00000000" w:rsidRDefault="00000000" w:rsidRPr="00000000" w14:paraId="00000023">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Believing</w:t>
      </w:r>
      <w:r w:rsidDel="00000000" w:rsidR="00000000" w:rsidRPr="00000000">
        <w:rPr>
          <w:rFonts w:ascii="Times New Roman" w:cs="Times New Roman" w:eastAsia="Times New Roman" w:hAnsi="Times New Roman"/>
          <w:sz w:val="21.119998931884766"/>
          <w:szCs w:val="21.119998931884766"/>
          <w:rtl w:val="0"/>
        </w:rPr>
        <w:t xml:space="preserve"> that food security is not merely a humanitarian issue but a fundamental human right and a pillar of international stability that requires the collective political will of all Member States to uphold.</w:t>
      </w:r>
    </w:p>
    <w:p w:rsidR="00000000" w:rsidDel="00000000" w:rsidP="00000000" w:rsidRDefault="00000000" w:rsidRPr="00000000" w14:paraId="00000024">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Emphasizing</w:t>
      </w:r>
      <w:r w:rsidDel="00000000" w:rsidR="00000000" w:rsidRPr="00000000">
        <w:rPr>
          <w:rFonts w:ascii="Times New Roman" w:cs="Times New Roman" w:eastAsia="Times New Roman" w:hAnsi="Times New Roman"/>
          <w:sz w:val="21.119998931884766"/>
          <w:szCs w:val="21.119998931884766"/>
          <w:rtl w:val="0"/>
        </w:rPr>
        <w:t xml:space="preserve"> the importance of maintaining open and uninterrupted agricultural and food trade to avoid unnecessarily exacerbating a food security crisis. </w:t>
      </w:r>
    </w:p>
    <w:p w:rsidR="00000000" w:rsidDel="00000000" w:rsidP="00000000" w:rsidRDefault="00000000" w:rsidRPr="00000000" w14:paraId="00000025">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Recognizing </w:t>
      </w:r>
      <w:r w:rsidDel="00000000" w:rsidR="00000000" w:rsidRPr="00000000">
        <w:rPr>
          <w:rFonts w:ascii="Times New Roman" w:cs="Times New Roman" w:eastAsia="Times New Roman" w:hAnsi="Times New Roman"/>
          <w:sz w:val="21.119998931884766"/>
          <w:szCs w:val="21.119998931884766"/>
          <w:rtl w:val="0"/>
        </w:rPr>
        <w:t xml:space="preserve">the gravity of functioning supply chains including logistics to an open and flowing market as well as local markets.</w:t>
      </w:r>
    </w:p>
    <w:p w:rsidR="00000000" w:rsidDel="00000000" w:rsidP="00000000" w:rsidRDefault="00000000" w:rsidRPr="00000000" w14:paraId="00000026">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Fonts w:ascii="Times New Roman" w:cs="Times New Roman" w:eastAsia="Times New Roman" w:hAnsi="Times New Roman"/>
          <w:i w:val="1"/>
          <w:iCs w:val="1"/>
          <w:sz w:val="21.119998931884766"/>
          <w:szCs w:val="21.119998931884766"/>
          <w:rtl w:val="0"/>
        </w:rPr>
        <w:t xml:space="preserve">Reiterating  </w:t>
      </w:r>
      <w:r w:rsidDel="00000000" w:rsidR="00000000" w:rsidRPr="00000000">
        <w:rPr>
          <w:rFonts w:ascii="Times New Roman" w:cs="Times New Roman" w:eastAsia="Times New Roman" w:hAnsi="Times New Roman"/>
          <w:sz w:val="21.119998931884766"/>
          <w:szCs w:val="21.119998931884766"/>
          <w:rtl w:val="0"/>
        </w:rPr>
        <w:t xml:space="preserve">the need to enhance predictability to mitigate excessive market volatility in the event of any food crisis caused or escalated by price hikes related to market insecurity due to prospects of supply disruptions, crop failures, pandemics, geopolitical conflict or other circumstances.</w:t>
      </w:r>
    </w:p>
    <w:p w:rsidR="00000000" w:rsidDel="00000000" w:rsidP="00000000" w:rsidRDefault="00000000" w:rsidRPr="00000000" w14:paraId="00000027">
      <w:pPr>
        <w:spacing w:after="240" w:before="240" w:line="527.0624542236328" w:lineRule="auto"/>
        <w:jc w:val="left"/>
        <w:rPr>
          <w:rFonts w:ascii="Times New Roman" w:cs="Times New Roman" w:eastAsia="Times New Roman" w:hAnsi="Times New Roman"/>
          <w:sz w:val="21.119998931884766"/>
          <w:szCs w:val="21.119998931884766"/>
        </w:rPr>
      </w:pPr>
      <w:r w:rsidDel="00000000" w:rsidR="00000000" w:rsidRPr="00000000">
        <w:rPr>
          <w:rtl w:val="0"/>
        </w:rPr>
      </w:r>
    </w:p>
    <w:p w:rsidR="00000000" w:rsidDel="00000000" w:rsidP="00000000" w:rsidRDefault="00000000" w:rsidRPr="00000000" w14:paraId="00000028">
      <w:pPr>
        <w:numPr>
          <w:ilvl w:val="0"/>
          <w:numId w:val="9"/>
        </w:numPr>
        <w:spacing w:after="0" w:afterAutospacing="0" w:before="284.822998046875" w:lineRule="auto"/>
        <w:ind w:left="720" w:right="-5.51025390625"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Calls for</w:t>
      </w:r>
      <w:r w:rsidDel="00000000" w:rsidR="00000000" w:rsidRPr="00000000">
        <w:rPr>
          <w:rFonts w:ascii="Times New Roman" w:cs="Times New Roman" w:eastAsia="Times New Roman" w:hAnsi="Times New Roman"/>
          <w:b w:val="1"/>
          <w:bCs w:val="1"/>
          <w:sz w:val="24"/>
          <w:szCs w:val="24"/>
          <w:rtl w:val="0"/>
        </w:rPr>
        <w:t xml:space="preserve"> the strict strengthened implementation of UNSC Resolution 2417</w:t>
      </w:r>
      <w:r w:rsidDel="00000000" w:rsidR="00000000" w:rsidRPr="00000000">
        <w:rPr>
          <w:rFonts w:ascii="Times New Roman" w:cs="Times New Roman" w:eastAsia="Times New Roman" w:hAnsi="Times New Roman"/>
          <w:sz w:val="24"/>
          <w:szCs w:val="24"/>
          <w:rtl w:val="0"/>
        </w:rPr>
        <w:t xml:space="preserve">, including:</w:t>
      </w:r>
    </w:p>
    <w:p w:rsidR="00000000" w:rsidDel="00000000" w:rsidP="00000000" w:rsidRDefault="00000000" w:rsidRPr="00000000" w14:paraId="00000029">
      <w:pPr>
        <w:numPr>
          <w:ilvl w:val="1"/>
          <w:numId w:val="9"/>
        </w:numPr>
        <w:spacing w:after="0" w:afterAutospacing="0" w:before="0" w:beforeAutospacing="0" w:line="360" w:lineRule="auto"/>
        <w:ind w:left="1440" w:right="-5.51025390625"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Condemnation of deliberate attacks on food systems, agricultural infrastructure, and humanitarian food assistance,</w:t>
      </w:r>
    </w:p>
    <w:p w:rsidR="00000000" w:rsidDel="00000000" w:rsidP="00000000" w:rsidRDefault="00000000" w:rsidRPr="00000000" w14:paraId="0000002A">
      <w:pPr>
        <w:numPr>
          <w:ilvl w:val="1"/>
          <w:numId w:val="9"/>
        </w:numPr>
        <w:spacing w:after="0" w:afterAutospacing="0" w:before="0" w:beforeAutospacing="0" w:line="360" w:lineRule="auto"/>
        <w:ind w:left="1440" w:right="-5.51025390625"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Explicit recognition of the weaponization of hunger as an unlawful act under international law,</w:t>
      </w:r>
    </w:p>
    <w:p w:rsidR="00000000" w:rsidDel="00000000" w:rsidP="00000000" w:rsidRDefault="00000000" w:rsidRPr="00000000" w14:paraId="0000002B">
      <w:pPr>
        <w:numPr>
          <w:ilvl w:val="1"/>
          <w:numId w:val="9"/>
        </w:numPr>
        <w:spacing w:before="0" w:beforeAutospacing="0" w:line="360" w:lineRule="auto"/>
        <w:ind w:left="1440" w:right="-5.51025390625"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Enhanced accountability mechanisms for violations, including reporting and investigation procedures;</w:t>
        <w:br w:type="textWrapping"/>
      </w:r>
    </w:p>
    <w:p w:rsidR="00000000" w:rsidDel="00000000" w:rsidP="00000000" w:rsidRDefault="00000000" w:rsidRPr="00000000" w14:paraId="0000002C">
      <w:pPr>
        <w:spacing w:before="284.822998046875" w:line="360" w:lineRule="auto"/>
        <w:ind w:left="1440" w:right="-5.51025390625"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9"/>
        </w:numPr>
        <w:spacing w:after="0" w:afterAutospacing="0" w:before="284.822998046875" w:lineRule="auto"/>
        <w:ind w:left="720" w:right="-5.51025390625"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Calls fo</w:t>
      </w:r>
      <w:r w:rsidDel="00000000" w:rsidR="00000000" w:rsidRPr="00000000">
        <w:rPr>
          <w:rFonts w:ascii="Times New Roman" w:cs="Times New Roman" w:eastAsia="Times New Roman" w:hAnsi="Times New Roman"/>
          <w:b w:val="1"/>
          <w:bCs w:val="1"/>
          <w:sz w:val="24"/>
          <w:szCs w:val="24"/>
          <w:u w:val="single"/>
          <w:rtl w:val="0"/>
        </w:rPr>
        <w:t xml:space="preserve">r </w:t>
      </w:r>
      <w:r w:rsidDel="00000000" w:rsidR="00000000" w:rsidRPr="00000000">
        <w:rPr>
          <w:rFonts w:ascii="Times New Roman" w:cs="Times New Roman" w:eastAsia="Times New Roman" w:hAnsi="Times New Roman"/>
          <w:b w:val="1"/>
          <w:bCs w:val="1"/>
          <w:sz w:val="24"/>
          <w:szCs w:val="24"/>
          <w:rtl w:val="0"/>
        </w:rPr>
        <w:t xml:space="preserve">establishing an individual international committee supervised by an observer nation appointed by the Food and Agriculture Organization of the United Nations (FAO).   </w:t>
      </w:r>
    </w:p>
    <w:p w:rsidR="00000000" w:rsidDel="00000000" w:rsidP="00000000" w:rsidRDefault="00000000" w:rsidRPr="00000000" w14:paraId="0000002E">
      <w:pPr>
        <w:numPr>
          <w:ilvl w:val="1"/>
          <w:numId w:val="9"/>
        </w:numPr>
        <w:spacing w:after="0" w:afterAutospacing="0" w:before="0" w:beforeAutospacing="0" w:line="360" w:lineRule="auto"/>
        <w:ind w:left="1440" w:right="-5.51025390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Respect other countries' sovereignty and territorial rights </w:t>
      </w:r>
    </w:p>
    <w:p w:rsidR="00000000" w:rsidDel="00000000" w:rsidP="00000000" w:rsidRDefault="00000000" w:rsidRPr="00000000" w14:paraId="0000002F">
      <w:pPr>
        <w:numPr>
          <w:ilvl w:val="1"/>
          <w:numId w:val="9"/>
        </w:numPr>
        <w:spacing w:after="0" w:afterAutospacing="0" w:before="0" w:beforeAutospacing="0" w:line="360" w:lineRule="auto"/>
        <w:ind w:left="1440" w:right="-5.51025390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Secure and track the transportation of delivering the food to the proper place</w:t>
      </w:r>
    </w:p>
    <w:p w:rsidR="00000000" w:rsidDel="00000000" w:rsidP="00000000" w:rsidRDefault="00000000" w:rsidRPr="00000000" w14:paraId="00000030">
      <w:pPr>
        <w:numPr>
          <w:ilvl w:val="1"/>
          <w:numId w:val="9"/>
        </w:numPr>
        <w:spacing w:after="0" w:afterAutospacing="0" w:before="0" w:beforeAutospacing="0" w:line="360" w:lineRule="auto"/>
        <w:ind w:left="1440" w:right="-5.51025390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Trustworthy data sharing between countries.</w:t>
      </w:r>
    </w:p>
    <w:p w:rsidR="00000000" w:rsidDel="00000000" w:rsidP="00000000" w:rsidRDefault="00000000" w:rsidRPr="00000000" w14:paraId="00000031">
      <w:pPr>
        <w:numPr>
          <w:ilvl w:val="1"/>
          <w:numId w:val="9"/>
        </w:numPr>
        <w:spacing w:after="0" w:afterAutospacing="0" w:before="0" w:beforeAutospacing="0" w:line="360" w:lineRule="auto"/>
        <w:ind w:left="1440" w:right="-5.5102539062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Protect international food markets via the right of force authorized by the Security Council. </w:t>
      </w:r>
    </w:p>
    <w:p w:rsidR="00000000" w:rsidDel="00000000" w:rsidP="00000000" w:rsidRDefault="00000000" w:rsidRPr="00000000" w14:paraId="00000032">
      <w:pPr>
        <w:numPr>
          <w:ilvl w:val="0"/>
          <w:numId w:val="9"/>
        </w:numPr>
        <w:spacing w:after="0" w:afterAutospacing="0" w:before="0" w:beforeAutospacing="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Calls for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strengthened international agreements to protect key maritime trade routes through demilitarization essential for global food transportation, in accordance with international law, including UNCLOS (United Nations Convention on Law of the Sea) , and with full respect for national sovereignty, which shall:</w:t>
      </w:r>
    </w:p>
    <w:p w:rsidR="00000000" w:rsidDel="00000000" w:rsidP="00000000" w:rsidRDefault="00000000" w:rsidRPr="00000000" w14:paraId="00000033">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 on information-sharing, early-warning systems, and coordinated civilian maritime security, rather than unilateral military action;</w:t>
      </w:r>
    </w:p>
    <w:p w:rsidR="00000000" w:rsidDel="00000000" w:rsidP="00000000" w:rsidRDefault="00000000" w:rsidRPr="00000000" w14:paraId="00000034">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voluntary regional cooperation frameworks among coastal and trading states to ensure safe passage of food shipments during crises;</w:t>
      </w:r>
    </w:p>
    <w:p w:rsidR="00000000" w:rsidDel="00000000" w:rsidP="00000000" w:rsidRDefault="00000000" w:rsidRPr="00000000" w14:paraId="00000035">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Reaffirm that no state shall exercise control over maritime trade routes beyond its rights under international law;</w:t>
      </w:r>
    </w:p>
    <w:p w:rsidR="00000000" w:rsidDel="00000000" w:rsidP="00000000" w:rsidRDefault="00000000" w:rsidRPr="00000000" w14:paraId="00000036">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Recognizing that militarization or control of maritime trade routes is a direct threat to a country's sovereign right to conduct free trade.</w:t>
      </w:r>
    </w:p>
    <w:p w:rsidR="00000000" w:rsidDel="00000000" w:rsidP="00000000" w:rsidRDefault="00000000" w:rsidRPr="00000000" w14:paraId="00000037">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uninterrupted provision of humanitarian food assistance, and the WTO Ministerial Decision on WFP Food Purchases Exemption from Export Prohibitions or Restrictions should be fully implemented.</w:t>
      </w:r>
    </w:p>
    <w:p w:rsidR="00000000" w:rsidDel="00000000" w:rsidP="00000000" w:rsidRDefault="00000000" w:rsidRPr="00000000" w14:paraId="00000038">
      <w:pPr>
        <w:widowControl w:val="1"/>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Strengthening of secure and reliable maritime transportation routes in securing stable supply of grains and other commodities that are important for food security and nutrition.</w:t>
      </w:r>
    </w:p>
    <w:p w:rsidR="00000000" w:rsidDel="00000000" w:rsidP="00000000" w:rsidRDefault="00000000" w:rsidRPr="00000000" w14:paraId="00000039">
      <w:pPr>
        <w:widowControl w:val="1"/>
        <w:numPr>
          <w:ilvl w:val="1"/>
          <w:numId w:val="9"/>
        </w:numPr>
        <w:spacing w:after="24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Diversification of aid channels should be to multiple routes and modalities–cross-border, cross-line, and local procurement–allowing input flow in case of blockage.</w:t>
      </w:r>
    </w:p>
    <w:p w:rsidR="00000000" w:rsidDel="00000000" w:rsidP="00000000" w:rsidRDefault="00000000" w:rsidRPr="00000000" w14:paraId="0000003A">
      <w:pPr>
        <w:spacing w:after="240" w:before="240" w:lineRule="auto"/>
        <w:ind w:left="144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numPr>
          <w:ilvl w:val="0"/>
          <w:numId w:val="9"/>
        </w:numPr>
        <w:spacing w:after="0" w:afterAutospacing="0"/>
        <w:ind w:left="720" w:right="-5.51025390625" w:hanging="36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Establishes</w:t>
      </w:r>
      <w:r w:rsidDel="00000000" w:rsidR="00000000" w:rsidRPr="00000000">
        <w:rPr>
          <w:rFonts w:ascii="Times New Roman" w:cs="Times New Roman" w:eastAsia="Times New Roman" w:hAnsi="Times New Roman"/>
          <w:b w:val="1"/>
          <w:bCs w:val="1"/>
          <w:sz w:val="24"/>
          <w:szCs w:val="24"/>
          <w:rtl w:val="0"/>
        </w:rPr>
        <w:t xml:space="preserve"> a trustworthy mechanism for agricultural data-sharing between Member States, including:</w:t>
      </w:r>
    </w:p>
    <w:p w:rsidR="00000000" w:rsidDel="00000000" w:rsidP="00000000" w:rsidRDefault="00000000" w:rsidRPr="00000000" w14:paraId="0000003C">
      <w:pPr>
        <w:numPr>
          <w:ilvl w:val="1"/>
          <w:numId w:val="9"/>
        </w:numPr>
        <w:spacing w:after="0" w:afterAutospacing="0" w:before="0" w:beforeAutospacing="0" w:line="360" w:lineRule="auto"/>
        <w:ind w:left="1440" w:hanging="360"/>
        <w:jc w:val="left"/>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The creation of a neutral, UN-monitored digital platform for the transparent reporting of grain reserves and harvest forecasts,</w:t>
      </w:r>
    </w:p>
    <w:p w:rsidR="00000000" w:rsidDel="00000000" w:rsidP="00000000" w:rsidRDefault="00000000" w:rsidRPr="00000000" w14:paraId="0000003D">
      <w:pPr>
        <w:numPr>
          <w:ilvl w:val="1"/>
          <w:numId w:val="9"/>
        </w:numPr>
        <w:spacing w:after="0" w:afterAutospacing="0" w:before="0" w:beforeAutospacing="0" w:line="360" w:lineRule="auto"/>
        <w:ind w:left="1440" w:hanging="360"/>
        <w:jc w:val="left"/>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The standardization of data metrics to ensure accuracy and prevent market manipulation through false reporting,</w:t>
      </w:r>
    </w:p>
    <w:p w:rsidR="00000000" w:rsidDel="00000000" w:rsidP="00000000" w:rsidRDefault="00000000" w:rsidRPr="00000000" w14:paraId="0000003E">
      <w:pPr>
        <w:numPr>
          <w:ilvl w:val="1"/>
          <w:numId w:val="9"/>
        </w:numPr>
        <w:spacing w:after="0" w:afterAutospacing="0" w:before="0" w:beforeAutospacing="0" w:line="360" w:lineRule="auto"/>
        <w:ind w:left="1440" w:hanging="360"/>
        <w:jc w:val="left"/>
        <w:rPr>
          <w:rFonts w:ascii="Arial" w:cs="Arial" w:eastAsia="Arial" w:hAnsi="Arial"/>
          <w:sz w:val="22"/>
          <w:szCs w:val="22"/>
        </w:rPr>
      </w:pPr>
      <w:r w:rsidDel="00000000" w:rsidR="00000000" w:rsidRPr="00000000">
        <w:rPr>
          <w:rFonts w:ascii="Times New Roman" w:cs="Times New Roman" w:eastAsia="Times New Roman" w:hAnsi="Times New Roman"/>
          <w:sz w:val="24"/>
          <w:szCs w:val="24"/>
          <w:rtl w:val="0"/>
        </w:rPr>
        <w:t xml:space="preserve">Protocols to protect sensitive national economic data while allowing for effective early-warning analysis of impending famines;</w:t>
      </w:r>
    </w:p>
    <w:p w:rsidR="00000000" w:rsidDel="00000000" w:rsidP="00000000" w:rsidRDefault="00000000" w:rsidRPr="00000000" w14:paraId="0000003F">
      <w:pPr>
        <w:widowControl w:val="1"/>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sdt>
        <w:sdtPr>
          <w:id w:val="2105884118"/>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Enhance</w:t>
      </w:r>
      <w:r w:rsidDel="00000000" w:rsidR="00000000" w:rsidRPr="00000000">
        <w:rPr>
          <w:rFonts w:ascii="Times New Roman" w:cs="Times New Roman" w:eastAsia="Times New Roman" w:hAnsi="Times New Roman"/>
          <w:sz w:val="24"/>
          <w:szCs w:val="24"/>
          <w:rtl w:val="0"/>
        </w:rPr>
        <w:t xml:space="preserve"> visibility and information availability of supply chain logistics that:</w:t>
      </w:r>
    </w:p>
    <w:p w:rsidR="00000000" w:rsidDel="00000000" w:rsidP="00000000" w:rsidRDefault="00000000" w:rsidRPr="00000000" w14:paraId="00000040">
      <w:pPr>
        <w:widowControl w:val="1"/>
        <w:numPr>
          <w:ilvl w:val="2"/>
          <w:numId w:val="9"/>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Enhancement of electronic exchanges of necessary certificates and the establishment of the International Grains Council (IGC) dashboard to visualize real-time grain trade flows.</w:t>
      </w:r>
    </w:p>
    <w:p w:rsidR="00000000" w:rsidDel="00000000" w:rsidP="00000000" w:rsidRDefault="00000000" w:rsidRPr="00000000" w14:paraId="00000041">
      <w:pPr>
        <w:widowControl w:val="1"/>
        <w:numPr>
          <w:ilvl w:val="1"/>
          <w:numId w:val="9"/>
        </w:numPr>
        <w:spacing w:after="24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Transparency on data of grains and other agricultural commodities throughout their supply chains should be enhanced, and related agricultural and logistic data should furthermore be made publicly available.</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2">
      <w:pPr>
        <w:spacing w:after="240" w:before="240" w:lineRule="auto"/>
        <w:ind w:left="144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numPr>
          <w:ilvl w:val="0"/>
          <w:numId w:val="9"/>
        </w:numPr>
        <w:spacing w:after="0" w:afterAutospacing="0" w:befor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Recommends</w:t>
      </w:r>
      <w:r w:rsidDel="00000000" w:rsidR="00000000" w:rsidRPr="00000000">
        <w:rPr>
          <w:rFonts w:ascii="Times New Roman" w:cs="Times New Roman" w:eastAsia="Times New Roman" w:hAnsi="Times New Roman"/>
          <w:i w:val="1"/>
          <w:iCs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the establishment of a Standing Global Food Surplus Bank, administered by the FAO in operational coordination with the World Food Programme (WFP) which shall:</w:t>
      </w:r>
    </w:p>
    <w:p w:rsidR="00000000" w:rsidDel="00000000" w:rsidP="00000000" w:rsidRDefault="00000000" w:rsidRPr="00000000" w14:paraId="00000044">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sdt>
        <w:sdtPr>
          <w:id w:val="-1833595723"/>
          <w:tag w:val="goog_rdk_1"/>
        </w:sdtPr>
        <w:sdtContent>
          <w:commentRangeStart w:id="1"/>
        </w:sdtContent>
      </w:sdt>
      <w:r w:rsidDel="00000000" w:rsidR="00000000" w:rsidRPr="00000000">
        <w:rPr>
          <w:rFonts w:ascii="Times New Roman" w:cs="Times New Roman" w:eastAsia="Times New Roman" w:hAnsi="Times New Roman"/>
          <w:sz w:val="24"/>
          <w:szCs w:val="24"/>
          <w:rtl w:val="0"/>
        </w:rPr>
        <w:t xml:space="preserve">Sustain adequate supply, circulation and delivery of grains, other agricultural commodities, and inputs including fertilizers, maintaining to avoid disruptions in face of emergency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45">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contributions or low-cost food provisions from surplus-producing nations;</w:t>
      </w:r>
    </w:p>
    <w:p w:rsidR="00000000" w:rsidDel="00000000" w:rsidP="00000000" w:rsidRDefault="00000000" w:rsidRPr="00000000" w14:paraId="00000046">
      <w:pPr>
        <w:numPr>
          <w:ilvl w:val="1"/>
          <w:numId w:val="9"/>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Emphasize that:</w:t>
      </w:r>
    </w:p>
    <w:p w:rsidR="00000000" w:rsidDel="00000000" w:rsidP="00000000" w:rsidRDefault="00000000" w:rsidRPr="00000000" w14:paraId="00000047">
      <w:pPr>
        <w:numPr>
          <w:ilvl w:val="2"/>
          <w:numId w:val="9"/>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decentralized, regional food reserves strategically located near high-risk regions to reduce transport delays and respect national sovereignty;</w:t>
      </w:r>
    </w:p>
    <w:p w:rsidR="00000000" w:rsidDel="00000000" w:rsidP="00000000" w:rsidRDefault="00000000" w:rsidRPr="00000000" w14:paraId="00000048">
      <w:pPr>
        <w:numPr>
          <w:ilvl w:val="2"/>
          <w:numId w:val="9"/>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Utilize existing WFP logistics, transport networks, and procurement systems to avoid duplication of infrastructure and administrative costs;</w:t>
      </w:r>
    </w:p>
    <w:p w:rsidR="00000000" w:rsidDel="00000000" w:rsidP="00000000" w:rsidRDefault="00000000" w:rsidRPr="00000000" w14:paraId="00000049">
      <w:pPr>
        <w:numPr>
          <w:ilvl w:val="2"/>
          <w:numId w:val="9"/>
        </w:numPr>
        <w:spacing w:after="24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Prioritize short-term emergency relief only, while transitioning affected states toward local food production and market-based recovery mechanisms;</w:t>
      </w:r>
    </w:p>
    <w:p w:rsidR="00000000" w:rsidDel="00000000" w:rsidP="00000000" w:rsidRDefault="00000000" w:rsidRPr="00000000" w14:paraId="0000004A">
      <w:pPr>
        <w:spacing w:after="240" w:befor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numPr>
          <w:ilvl w:val="0"/>
          <w:numId w:val="9"/>
        </w:numPr>
        <w:spacing w:after="0" w:afterAutospacing="0" w:before="240"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bCs w:val="1"/>
          <w:i w:val="1"/>
          <w:iCs w:val="1"/>
          <w:sz w:val="24"/>
          <w:szCs w:val="24"/>
          <w:u w:val="single"/>
          <w:rtl w:val="0"/>
        </w:rPr>
        <w:t xml:space="preserve">Emphasizes</w:t>
      </w:r>
      <w:r w:rsidDel="00000000" w:rsidR="00000000" w:rsidRPr="00000000">
        <w:rPr>
          <w:rFonts w:ascii="Times New Roman" w:cs="Times New Roman" w:eastAsia="Times New Roman" w:hAnsi="Times New Roman"/>
          <w:sz w:val="24"/>
          <w:szCs w:val="24"/>
          <w:rtl w:val="0"/>
        </w:rPr>
        <w:t xml:space="preserve"> that the purpose of the Standing Food Surplus Bank is to ensure:</w:t>
      </w:r>
    </w:p>
    <w:p w:rsidR="00000000" w:rsidDel="00000000" w:rsidP="00000000" w:rsidRDefault="00000000" w:rsidRPr="00000000" w14:paraId="0000004C">
      <w:pPr>
        <w:numPr>
          <w:ilvl w:val="0"/>
          <w:numId w:val="4"/>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Efficient, rapid, and effective food distribution, and</w:t>
      </w:r>
    </w:p>
    <w:p w:rsidR="00000000" w:rsidDel="00000000" w:rsidP="00000000" w:rsidRDefault="00000000" w:rsidRPr="00000000" w14:paraId="0000004D">
      <w:pPr>
        <w:numPr>
          <w:ilvl w:val="0"/>
          <w:numId w:val="4"/>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Reduce logistical bottlenecks by pre-positioning supplies regionally rather than globally;</w:t>
      </w:r>
    </w:p>
    <w:p w:rsidR="00000000" w:rsidDel="00000000" w:rsidP="00000000" w:rsidRDefault="00000000" w:rsidRPr="00000000" w14:paraId="0000004E">
      <w:pPr>
        <w:numPr>
          <w:ilvl w:val="0"/>
          <w:numId w:val="4"/>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Complement and not replace local food systems and markets.</w:t>
      </w:r>
    </w:p>
    <w:p w:rsidR="00000000" w:rsidDel="00000000" w:rsidP="00000000" w:rsidRDefault="00000000" w:rsidRPr="00000000" w14:paraId="0000004F">
      <w:pPr>
        <w:numPr>
          <w:ilvl w:val="0"/>
          <w:numId w:val="9"/>
        </w:numPr>
        <w:spacing w:after="0" w:afterAutospacing="0" w:before="0" w:beforeAutospacing="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Recommends</w:t>
      </w:r>
      <w:r w:rsidDel="00000000" w:rsidR="00000000" w:rsidRPr="00000000">
        <w:rPr>
          <w:rFonts w:ascii="Times New Roman" w:cs="Times New Roman" w:eastAsia="Times New Roman" w:hAnsi="Times New Roman"/>
          <w:sz w:val="24"/>
          <w:szCs w:val="24"/>
          <w:rtl w:val="0"/>
        </w:rPr>
        <w:t xml:space="preserve"> the establishment of a Global Food Market Monitoring Mechanism (GFMMM) under United Nations oversight, coordinated by the FAO, which shall:</w:t>
      </w:r>
    </w:p>
    <w:p w:rsidR="00000000" w:rsidDel="00000000" w:rsidP="00000000" w:rsidRDefault="00000000" w:rsidRPr="00000000" w14:paraId="00000050">
      <w:pPr>
        <w:widowControl w:val="1"/>
        <w:numPr>
          <w:ilvl w:val="0"/>
          <w:numId w:val="1"/>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 the Agricultural Market Information System (AMIS) and provide necessary and timely information on supply and demand. </w:t>
      </w:r>
    </w:p>
    <w:p w:rsidR="00000000" w:rsidDel="00000000" w:rsidP="00000000" w:rsidRDefault="00000000" w:rsidRPr="00000000" w14:paraId="00000051">
      <w:pPr>
        <w:widowControl w:val="1"/>
        <w:numPr>
          <w:ilvl w:val="0"/>
          <w:numId w:val="1"/>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Strengthening communication and information sharing among relevant stakeholders including governments, the international organizations, the private sector and the civil society, regarding their responses to food security and nutrition crises, including through the Rapid Response Forum provided by AMIS.</w:t>
      </w:r>
    </w:p>
    <w:p w:rsidR="00000000" w:rsidDel="00000000" w:rsidP="00000000" w:rsidRDefault="00000000" w:rsidRPr="00000000" w14:paraId="00000052">
      <w:pPr>
        <w:numPr>
          <w:ilvl w:val="0"/>
          <w:numId w:val="1"/>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Integrate existing FAO food price, supply, and production monitoring systems into a voluntary, non-binding unified early-warning dashboard, avoiding duplication of existing mechanisms;</w:t>
      </w:r>
    </w:p>
    <w:p w:rsidR="00000000" w:rsidDel="00000000" w:rsidP="00000000" w:rsidRDefault="00000000" w:rsidRPr="00000000" w14:paraId="00000053">
      <w:pPr>
        <w:numPr>
          <w:ilvl w:val="0"/>
          <w:numId w:val="1"/>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early warning signs of food shortages, supply disruptions, or inflation;</w:t>
      </w:r>
    </w:p>
    <w:p w:rsidR="00000000" w:rsidDel="00000000" w:rsidP="00000000" w:rsidRDefault="00000000" w:rsidRPr="00000000" w14:paraId="00000054">
      <w:pPr>
        <w:numPr>
          <w:ilvl w:val="0"/>
          <w:numId w:val="1"/>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early indicators of food shortages, supply disruptions, and abnormal price inflation, particularly in food-import-dependent and vulnerable regions;</w:t>
      </w:r>
    </w:p>
    <w:p w:rsidR="00000000" w:rsidDel="00000000" w:rsidP="00000000" w:rsidRDefault="00000000" w:rsidRPr="00000000" w14:paraId="00000055">
      <w:pPr>
        <w:numPr>
          <w:ilvl w:val="0"/>
          <w:numId w:val="1"/>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 regular, non-prescriptive price and supply alerts intended solely to:</w:t>
      </w:r>
    </w:p>
    <w:p w:rsidR="00000000" w:rsidDel="00000000" w:rsidP="00000000" w:rsidRDefault="00000000" w:rsidRPr="00000000" w14:paraId="00000056">
      <w:pPr>
        <w:numPr>
          <w:ilvl w:val="0"/>
          <w:numId w:val="10"/>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early humanitarian pre-positioning,</w:t>
      </w:r>
    </w:p>
    <w:p w:rsidR="00000000" w:rsidDel="00000000" w:rsidP="00000000" w:rsidRDefault="00000000" w:rsidRPr="00000000" w14:paraId="00000057">
      <w:pPr>
        <w:numPr>
          <w:ilvl w:val="0"/>
          <w:numId w:val="10"/>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governments in preparedness planning,</w:t>
        <w:br w:type="textWrapping"/>
        <w:t xml:space="preserve"> without imposing policy obligations on states;</w:t>
      </w:r>
    </w:p>
    <w:p w:rsidR="00000000" w:rsidDel="00000000" w:rsidP="00000000" w:rsidRDefault="00000000" w:rsidRPr="00000000" w14:paraId="00000058">
      <w:pPr>
        <w:numPr>
          <w:ilvl w:val="0"/>
          <w:numId w:val="2"/>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import-planning and supply-diversification tools utilizing FAO databases to assist states in:</w:t>
      </w:r>
    </w:p>
    <w:p w:rsidR="00000000" w:rsidDel="00000000" w:rsidP="00000000" w:rsidRDefault="00000000" w:rsidRPr="00000000" w14:paraId="00000059">
      <w:pPr>
        <w:numPr>
          <w:ilvl w:val="0"/>
          <w:numId w:val="8"/>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Identifying alternative suppliers,</w:t>
      </w:r>
    </w:p>
    <w:p w:rsidR="00000000" w:rsidDel="00000000" w:rsidP="00000000" w:rsidRDefault="00000000" w:rsidRPr="00000000" w14:paraId="0000005A">
      <w:pPr>
        <w:numPr>
          <w:ilvl w:val="0"/>
          <w:numId w:val="8"/>
        </w:numPr>
        <w:spacing w:after="0" w:afterAutospacing="0" w:before="0" w:beforeAutospacing="0" w:line="36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Reducing over-reliance on single trade corridors or commodities;</w:t>
      </w:r>
    </w:p>
    <w:p w:rsidR="00000000" w:rsidDel="00000000" w:rsidP="00000000" w:rsidRDefault="00000000" w:rsidRPr="00000000" w14:paraId="0000005B">
      <w:pPr>
        <w:numPr>
          <w:ilvl w:val="0"/>
          <w:numId w:val="5"/>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transparency, predictability, and confidence in global food markets while fully respecting national data sovereignty and commercial confidentiality;</w:t>
        <w:br w:type="textWrapping"/>
      </w:r>
    </w:p>
    <w:p w:rsidR="00000000" w:rsidDel="00000000" w:rsidP="00000000" w:rsidRDefault="00000000" w:rsidRPr="00000000" w14:paraId="0000005C">
      <w:pPr>
        <w:numPr>
          <w:ilvl w:val="0"/>
          <w:numId w:val="9"/>
        </w:numPr>
        <w:spacing w:after="0" w:afterAutospacing="0" w:before="0" w:beforeAutospacing="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Calls for</w:t>
      </w:r>
      <w:r w:rsidDel="00000000" w:rsidR="00000000" w:rsidRPr="00000000">
        <w:rPr>
          <w:rFonts w:ascii="Times New Roman" w:cs="Times New Roman" w:eastAsia="Times New Roman" w:hAnsi="Times New Roman"/>
          <w:sz w:val="24"/>
          <w:szCs w:val="24"/>
          <w:rtl w:val="0"/>
        </w:rPr>
        <w:t xml:space="preserve"> the sharing of climate-resilient agricultural and water infrastructure technologies, upon request and in accordance with national priorities, modeled on successful national frameworks such as Morocco’s National Water Plan, including:</w:t>
      </w:r>
    </w:p>
    <w:p w:rsidR="00000000" w:rsidDel="00000000" w:rsidP="00000000" w:rsidRDefault="00000000" w:rsidRPr="00000000" w14:paraId="0000005D">
      <w:pPr>
        <w:numPr>
          <w:ilvl w:val="0"/>
          <w:numId w:val="7"/>
        </w:numPr>
        <w:spacing w:after="0" w:afterAutospacing="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Advanced irrigation systems, water storage infrastructure, and dams adapted to local ecological and climatic conditions;</w:t>
      </w:r>
    </w:p>
    <w:p w:rsidR="00000000" w:rsidDel="00000000" w:rsidP="00000000" w:rsidRDefault="00000000" w:rsidRPr="00000000" w14:paraId="0000005E">
      <w:pPr>
        <w:numPr>
          <w:ilvl w:val="0"/>
          <w:numId w:val="7"/>
        </w:numPr>
        <w:spacing w:after="240" w:before="0" w:beforeAutospacing="0" w:line="36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Water-efficient agricultural technologies and sustainable farming practices designed to reduce water loss and increase productivity;</w:t>
      </w:r>
    </w:p>
    <w:p w:rsidR="00000000" w:rsidDel="00000000" w:rsidP="00000000" w:rsidRDefault="00000000" w:rsidRPr="00000000" w14:paraId="0000005F">
      <w:pPr>
        <w:spacing w:after="240" w:before="240" w:lineRule="auto"/>
        <w:ind w:left="144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9"/>
        </w:numPr>
        <w:spacing w:after="240" w:befor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multi-year investment frameworks for climate-resilient agriculture through existing mechanisms such as the World Bank’s Country Climate and Development Reports;</w:t>
      </w:r>
    </w:p>
    <w:p w:rsidR="00000000" w:rsidDel="00000000" w:rsidP="00000000" w:rsidRDefault="00000000" w:rsidRPr="00000000" w14:paraId="00000061">
      <w:pPr>
        <w:spacing w:after="240" w:before="240" w:lineRule="auto"/>
        <w:ind w:lef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numPr>
          <w:ilvl w:val="0"/>
          <w:numId w:val="9"/>
        </w:numPr>
        <w:spacing w:after="0" w:afterAutospacing="0" w:before="240" w:lineRule="auto"/>
        <w:ind w:left="72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Encourages</w:t>
      </w:r>
      <w:r w:rsidDel="00000000" w:rsidR="00000000" w:rsidRPr="00000000">
        <w:rPr>
          <w:rFonts w:ascii="Times New Roman" w:cs="Times New Roman" w:eastAsia="Times New Roman" w:hAnsi="Times New Roman"/>
          <w:i w:val="1"/>
          <w:iCs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international technology-sharing initiatives, particularly digital-based agricultural systems, through a UN-coordinated, voluntary framework, which shall</w:t>
      </w:r>
    </w:p>
    <w:p w:rsidR="00000000" w:rsidDel="00000000" w:rsidP="00000000" w:rsidRDefault="00000000" w:rsidRPr="00000000" w14:paraId="00000063">
      <w:pPr>
        <w:numPr>
          <w:ilvl w:val="0"/>
          <w:numId w:val="6"/>
        </w:numPr>
        <w:spacing w:after="0" w:afterAutospacing="0" w:before="0" w:beforeAutospacing="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FAO Digital Agriculture Centres of Excellence, utilizing platforms such as WAICAT and FAOSTAT for predictive climate crop modeling and early-warning analysis;</w:t>
      </w:r>
    </w:p>
    <w:p w:rsidR="00000000" w:rsidDel="00000000" w:rsidP="00000000" w:rsidRDefault="00000000" w:rsidRPr="00000000" w14:paraId="00000064">
      <w:pPr>
        <w:numPr>
          <w:ilvl w:val="0"/>
          <w:numId w:val="6"/>
        </w:numPr>
        <w:spacing w:after="0" w:afterAutospacing="0" w:before="0" w:beforeAutospacing="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Promote voluntary and secure cross-border data sharing, limited to non-sensitive agricultural and climate indicators, to improve accuracy, resilience, and preparedness;</w:t>
      </w:r>
    </w:p>
    <w:p w:rsidR="00000000" w:rsidDel="00000000" w:rsidP="00000000" w:rsidRDefault="00000000" w:rsidRPr="00000000" w14:paraId="00000065">
      <w:pPr>
        <w:numPr>
          <w:ilvl w:val="0"/>
          <w:numId w:val="6"/>
        </w:numPr>
        <w:spacing w:after="0" w:afterAutospacing="0" w:before="0" w:beforeAutospacing="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equitable access to technology for developing and food-insecure nations through:</w:t>
      </w:r>
    </w:p>
    <w:p w:rsidR="00000000" w:rsidDel="00000000" w:rsidP="00000000" w:rsidRDefault="00000000" w:rsidRPr="00000000" w14:paraId="00000066">
      <w:pPr>
        <w:numPr>
          <w:ilvl w:val="1"/>
          <w:numId w:val="6"/>
        </w:numPr>
        <w:spacing w:after="0" w:afterAutospacing="0" w:before="0" w:beforeAutospacing="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Capacity building and training programs,</w:t>
      </w:r>
    </w:p>
    <w:p w:rsidR="00000000" w:rsidDel="00000000" w:rsidP="00000000" w:rsidRDefault="00000000" w:rsidRPr="00000000" w14:paraId="00000067">
      <w:pPr>
        <w:numPr>
          <w:ilvl w:val="1"/>
          <w:numId w:val="6"/>
        </w:numPr>
        <w:spacing w:after="0" w:afterAutospacing="0" w:before="0" w:beforeAutospacing="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Adaptation to local infrastructure constraints,</w:t>
      </w:r>
    </w:p>
    <w:p w:rsidR="00000000" w:rsidDel="00000000" w:rsidP="00000000" w:rsidRDefault="00000000" w:rsidRPr="00000000" w14:paraId="00000068">
      <w:pPr>
        <w:numPr>
          <w:ilvl w:val="1"/>
          <w:numId w:val="6"/>
        </w:numPr>
        <w:spacing w:after="240" w:before="0" w:beforeAutospacing="0" w:lineRule="auto"/>
        <w:ind w:left="21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Protection of national data sovereignty and intellectual property rights;</w:t>
      </w:r>
    </w:p>
    <w:p w:rsidR="00000000" w:rsidDel="00000000" w:rsidP="00000000" w:rsidRDefault="00000000" w:rsidRPr="00000000" w14:paraId="00000069">
      <w:pPr>
        <w:spacing w:after="24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b w:val="1"/>
          <w:bCs w:val="1"/>
          <w:i w:val="1"/>
          <w:iCs w:val="1"/>
          <w:sz w:val="24"/>
          <w:szCs w:val="24"/>
          <w:u w:val="single"/>
          <w:rtl w:val="0"/>
        </w:rPr>
        <w:t xml:space="preserve">Encourages</w:t>
      </w:r>
      <w:r w:rsidDel="00000000" w:rsidR="00000000" w:rsidRPr="00000000">
        <w:rPr>
          <w:rFonts w:ascii="Times New Roman" w:cs="Times New Roman" w:eastAsia="Times New Roman" w:hAnsi="Times New Roman"/>
          <w:sz w:val="24"/>
          <w:szCs w:val="24"/>
          <w:rtl w:val="0"/>
        </w:rPr>
        <w:t xml:space="preserve"> partnerships between governments, international organizations, and the private sector to:</w:t>
      </w:r>
    </w:p>
    <w:p w:rsidR="00000000" w:rsidDel="00000000" w:rsidP="00000000" w:rsidRDefault="00000000" w:rsidRPr="00000000" w14:paraId="0000006A">
      <w:pPr>
        <w:numPr>
          <w:ilvl w:val="1"/>
          <w:numId w:val="3"/>
        </w:numPr>
        <w:spacing w:after="0" w:afterAutospacing="0" w:before="24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 food supply chains,</w:t>
      </w:r>
    </w:p>
    <w:p w:rsidR="00000000" w:rsidDel="00000000" w:rsidP="00000000" w:rsidRDefault="00000000" w:rsidRPr="00000000" w14:paraId="0000006B">
      <w:pPr>
        <w:numPr>
          <w:ilvl w:val="1"/>
          <w:numId w:val="3"/>
        </w:numPr>
        <w:spacing w:after="0" w:afterAutospacing="0" w:before="0" w:beforeAutospacing="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Improve logistics, storage, and transportation capacity,</w:t>
      </w:r>
    </w:p>
    <w:p w:rsidR="00000000" w:rsidDel="00000000" w:rsidP="00000000" w:rsidRDefault="00000000" w:rsidRPr="00000000" w14:paraId="0000006C">
      <w:pPr>
        <w:numPr>
          <w:ilvl w:val="1"/>
          <w:numId w:val="3"/>
        </w:numPr>
        <w:spacing w:after="0" w:afterAutospacing="0" w:before="0" w:beforeAutospacing="0" w:lineRule="auto"/>
        <w:ind w:left="144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 innovation and resilience in global food security solutions,</w:t>
      </w:r>
    </w:p>
    <w:p w:rsidR="00000000" w:rsidDel="00000000" w:rsidP="00000000" w:rsidRDefault="00000000" w:rsidRPr="00000000" w14:paraId="0000006D">
      <w:pPr>
        <w:numPr>
          <w:ilvl w:val="1"/>
          <w:numId w:val="3"/>
        </w:numPr>
        <w:spacing w:after="240" w:before="0" w:beforeAutospacing="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Consolidate relations to countries in need of humanitarian aid;</w:t>
      </w:r>
    </w:p>
    <w:p w:rsidR="00000000" w:rsidDel="00000000" w:rsidP="00000000" w:rsidRDefault="00000000" w:rsidRPr="00000000" w14:paraId="0000006E">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befor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40" w:befor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sectPr>
      <w:headerReference r:id="rId10" w:type="default"/>
      <w:pgSz w:h="16838" w:w="11906" w:orient="portrait"/>
      <w:pgMar w:bottom="1440" w:top="1440" w:left="1080" w:right="1080" w:header="794" w:footer="992"/>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angyoon Adam Han" w:id="0" w:date="2026-01-11T01:49:48Z">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Japan</w:t>
      </w:r>
    </w:p>
  </w:comment>
  <w:comment w:author="Sangyoon Adam Han" w:id="1" w:date="2026-01-11T01:49:58Z">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Japan</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75" w15:done="0"/>
  <w15:commentEx w15:paraId="0000007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U/K7BziU4na3BndyzZnDUO1X9g==">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