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-86328</wp:posOffset>
                  </wp:positionH>
                  <wp:positionV relativeFrom="paragraph">
                    <wp:posOffset>-239388</wp:posOffset>
                  </wp:positionV>
                  <wp:extent cx="734886" cy="691085"/>
                  <wp:effectExtent b="0" l="0" r="0" t="0"/>
                  <wp:wrapNone/>
                  <wp:docPr id="11865220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January, 2025</w:t>
            </w:r>
          </w:p>
        </w:tc>
      </w:tr>
      <w:tr>
        <w:trPr>
          <w:cantSplit w:val="0"/>
          <w:trHeight w:val="153"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sz w:val="23"/>
          <w:szCs w:val="23"/>
          <w:rtl w:val="0"/>
        </w:rPr>
        <w:t xml:space="preserve">Sponsors: Malawi, </w:t>
      </w:r>
      <w:r w:rsidDel="00000000" w:rsidR="00000000" w:rsidRPr="00000000">
        <w:rPr>
          <w:rFonts w:ascii="Times New Roman" w:cs="Times New Roman" w:eastAsia="Times New Roman" w:hAnsi="Times New Roman"/>
          <w:i w:val="1"/>
          <w:iCs w:val="1"/>
          <w:rtl w:val="0"/>
        </w:rPr>
        <w:t xml:space="preserve">France, Armenia, Norway, Republic of Korea, Germany,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Burkina Faso, Chad, Central African Republic, Democratic Republic of the Congo, Ethiopia, India, Kenya, Libya, Mali, Nigeria, Somalia, South Africa, South Sudan, Sudan, United Arab Emirates, Uganda</w:t>
      </w:r>
    </w:p>
    <w:p w:rsidR="00000000" w:rsidDel="00000000" w:rsidP="00000000" w:rsidRDefault="00000000" w:rsidRPr="00000000" w14:paraId="00000013">
      <w:pPr>
        <w:spacing w:after="240" w:before="240" w:lineRule="auto"/>
        <w:ind w:left="0" w:firstLine="0"/>
        <w:rPr>
          <w:rFonts w:ascii="Times New Roman" w:cs="Times New Roman" w:eastAsia="Times New Roman" w:hAnsi="Times New Roman"/>
          <w:i w:val="1"/>
          <w:iCs w:val="1"/>
          <w:sz w:val="23"/>
          <w:szCs w:val="23"/>
        </w:rPr>
      </w:pPr>
      <w:r w:rsidDel="00000000" w:rsidR="00000000" w:rsidRPr="00000000">
        <w:rPr>
          <w:rFonts w:ascii="Times New Roman" w:cs="Times New Roman" w:eastAsia="Times New Roman" w:hAnsi="Times New Roman"/>
          <w:i w:val="1"/>
          <w:iCs w:val="1"/>
          <w:sz w:val="23"/>
          <w:szCs w:val="23"/>
          <w:rtl w:val="0"/>
        </w:rPr>
        <w:t xml:space="preserve">The General Assembly,</w:t>
      </w:r>
    </w:p>
    <w:p w:rsidR="00000000" w:rsidDel="00000000" w:rsidP="00000000" w:rsidRDefault="00000000" w:rsidRPr="00000000" w14:paraId="00000014">
      <w:pPr>
        <w:spacing w:after="240" w:before="240" w:lineRule="auto"/>
        <w:ind w:left="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Alarmed</w:t>
      </w:r>
      <w:r w:rsidDel="00000000" w:rsidR="00000000" w:rsidRPr="00000000">
        <w:rPr>
          <w:rFonts w:ascii="Times New Roman" w:cs="Times New Roman" w:eastAsia="Times New Roman" w:hAnsi="Times New Roman"/>
          <w:sz w:val="23"/>
          <w:szCs w:val="23"/>
          <w:rtl w:val="0"/>
        </w:rPr>
        <w:t xml:space="preserve"> by the 9% drop in global aid (ODA) in 2024 and the projected 17% cut in 2025, which marks the first time in history that the top four global donors have cut their budgets at the same time ,</w:t>
      </w:r>
    </w:p>
    <w:p w:rsidR="00000000" w:rsidDel="00000000" w:rsidP="00000000" w:rsidRDefault="00000000" w:rsidRPr="00000000" w14:paraId="00000015">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Deeply concerned</w:t>
      </w:r>
      <w:r w:rsidDel="00000000" w:rsidR="00000000" w:rsidRPr="00000000">
        <w:rPr>
          <w:rFonts w:ascii="Times New Roman" w:cs="Times New Roman" w:eastAsia="Times New Roman" w:hAnsi="Times New Roman"/>
          <w:sz w:val="23"/>
          <w:szCs w:val="23"/>
          <w:rtl w:val="0"/>
        </w:rPr>
        <w:t xml:space="preserve"> that the World Food Programme (WFP) faces a 40% budget shortfall, forcing it to cut life-saving food aid for millions of people in "crisis" to save those in "emergency" hunger ,</w:t>
      </w:r>
    </w:p>
    <w:p w:rsidR="00000000" w:rsidDel="00000000" w:rsidP="00000000" w:rsidRDefault="00000000" w:rsidRPr="00000000" w14:paraId="00000016">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Noting with regret</w:t>
      </w:r>
      <w:r w:rsidDel="00000000" w:rsidR="00000000" w:rsidRPr="00000000">
        <w:rPr>
          <w:rFonts w:ascii="Times New Roman" w:cs="Times New Roman" w:eastAsia="Times New Roman" w:hAnsi="Times New Roman"/>
          <w:sz w:val="23"/>
          <w:szCs w:val="23"/>
          <w:rtl w:val="0"/>
        </w:rPr>
        <w:t xml:space="preserve"> the situation in Malawi, where a 59% drop in expected aid has created a $177 million hole in the national budget, risking the loss of 3,500 health worker jobs and pushing 435,000 people into poverty,</w:t>
      </w:r>
    </w:p>
    <w:p w:rsidR="00000000" w:rsidDel="00000000" w:rsidP="00000000" w:rsidRDefault="00000000" w:rsidRPr="00000000" w14:paraId="00000017">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Recognizing</w:t>
      </w:r>
      <w:r w:rsidDel="00000000" w:rsidR="00000000" w:rsidRPr="00000000">
        <w:rPr>
          <w:rFonts w:ascii="Times New Roman" w:cs="Times New Roman" w:eastAsia="Times New Roman" w:hAnsi="Times New Roman"/>
          <w:sz w:val="23"/>
          <w:szCs w:val="23"/>
          <w:rtl w:val="0"/>
        </w:rPr>
        <w:t xml:space="preserve"> that the 1945-era financial systemis failing because it forces poor countries to choose between paying off old debts and feeding their own people ,</w:t>
      </w:r>
    </w:p>
    <w:p w:rsidR="00000000" w:rsidDel="00000000" w:rsidP="00000000" w:rsidRDefault="00000000" w:rsidRPr="00000000" w14:paraId="00000018">
      <w:pPr>
        <w:spacing w:after="240" w:before="240" w:line="360" w:lineRule="auto"/>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Thereby, </w:t>
      </w:r>
    </w:p>
    <w:p w:rsidR="00000000" w:rsidDel="00000000" w:rsidP="00000000" w:rsidRDefault="00000000" w:rsidRPr="00000000" w14:paraId="00000019">
      <w:pPr>
        <w:numPr>
          <w:ilvl w:val="0"/>
          <w:numId w:val="2"/>
        </w:numPr>
        <w:spacing w:after="0" w:afterAutospacing="0" w:before="240" w:line="36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Calls upon </w:t>
      </w:r>
      <w:r w:rsidDel="00000000" w:rsidR="00000000" w:rsidRPr="00000000">
        <w:rPr>
          <w:rFonts w:ascii="Times New Roman" w:cs="Times New Roman" w:eastAsia="Times New Roman" w:hAnsi="Times New Roman"/>
          <w:sz w:val="23"/>
          <w:szCs w:val="23"/>
          <w:rtl w:val="0"/>
        </w:rPr>
        <w:t xml:space="preserve">developed nations to stop the sudden withdrawal of funds and instead provide a clear, multi-year "funding roadmap" so that organizations like the WFP and countries can plan their budgets without fear of a sudden collapse;</w:t>
      </w:r>
    </w:p>
    <w:p w:rsidR="00000000" w:rsidDel="00000000" w:rsidP="00000000" w:rsidRDefault="00000000" w:rsidRPr="00000000" w14:paraId="0000001A">
      <w:pPr>
        <w:numPr>
          <w:ilvl w:val="0"/>
          <w:numId w:val="1"/>
        </w:numPr>
        <w:spacing w:after="0" w:afterAutospacing="0" w:before="0" w:beforeAutospacing="0" w:line="36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Proposes</w:t>
      </w:r>
      <w:r w:rsidDel="00000000" w:rsidR="00000000" w:rsidRPr="00000000">
        <w:rPr>
          <w:rFonts w:ascii="Times New Roman" w:cs="Times New Roman" w:eastAsia="Times New Roman" w:hAnsi="Times New Roman"/>
          <w:sz w:val="23"/>
          <w:szCs w:val="23"/>
          <w:rtl w:val="0"/>
        </w:rPr>
        <w:t xml:space="preserve"> the use of Debt-for-Development Swaps, where a portion of a country's debt is "forgiven" on the condition that the money is spent directly on local projects like food security, education, or healthcare;</w:t>
      </w:r>
    </w:p>
    <w:p w:rsidR="00000000" w:rsidDel="00000000" w:rsidP="00000000" w:rsidRDefault="00000000" w:rsidRPr="00000000" w14:paraId="0000001B">
      <w:pPr>
        <w:numPr>
          <w:ilvl w:val="0"/>
          <w:numId w:val="1"/>
        </w:numPr>
        <w:spacing w:after="0" w:afterAutospacing="0" w:before="0" w:beforeAutospacing="0" w:line="36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Requests</w:t>
      </w:r>
      <w:r w:rsidDel="00000000" w:rsidR="00000000" w:rsidRPr="00000000">
        <w:rPr>
          <w:rFonts w:ascii="Times New Roman" w:cs="Times New Roman" w:eastAsia="Times New Roman" w:hAnsi="Times New Roman"/>
          <w:sz w:val="23"/>
          <w:szCs w:val="23"/>
          <w:rtl w:val="0"/>
        </w:rPr>
        <w:t xml:space="preserve"> the expansion of Matching Funds for the WFP, which would allow non-traditional donors and host governments to provide food or services that are "matched" with cash from larger donors to maximize every dollar;</w:t>
      </w:r>
    </w:p>
    <w:p w:rsidR="00000000" w:rsidDel="00000000" w:rsidP="00000000" w:rsidRDefault="00000000" w:rsidRPr="00000000" w14:paraId="0000001C">
      <w:pPr>
        <w:numPr>
          <w:ilvl w:val="0"/>
          <w:numId w:val="1"/>
        </w:numPr>
        <w:spacing w:after="0" w:afterAutospacing="0" w:before="0" w:beforeAutospacing="0" w:line="36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Encourages</w:t>
      </w:r>
      <w:r w:rsidDel="00000000" w:rsidR="00000000" w:rsidRPr="00000000">
        <w:rPr>
          <w:rFonts w:ascii="Times New Roman" w:cs="Times New Roman" w:eastAsia="Times New Roman" w:hAnsi="Times New Roman"/>
          <w:sz w:val="23"/>
          <w:szCs w:val="23"/>
          <w:rtl w:val="0"/>
        </w:rPr>
        <w:t xml:space="preserve"> the use of Public-Private Partnerships (PPPs) to bring in private sector expertise, such as tech companies helping with WFP logistics or agritech firms helping Malawian farmers, to reduce the reliance on government aid alone;</w:t>
      </w:r>
    </w:p>
    <w:p w:rsidR="00000000" w:rsidDel="00000000" w:rsidP="00000000" w:rsidRDefault="00000000" w:rsidRPr="00000000" w14:paraId="0000001D">
      <w:pPr>
        <w:numPr>
          <w:ilvl w:val="0"/>
          <w:numId w:val="1"/>
        </w:numPr>
        <w:spacing w:after="0" w:afterAutospacing="0" w:before="0" w:beforeAutospacing="0" w:line="36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Suggests</w:t>
      </w:r>
      <w:r w:rsidDel="00000000" w:rsidR="00000000" w:rsidRPr="00000000">
        <w:rPr>
          <w:rFonts w:ascii="Times New Roman" w:cs="Times New Roman" w:eastAsia="Times New Roman" w:hAnsi="Times New Roman"/>
          <w:sz w:val="23"/>
          <w:szCs w:val="23"/>
          <w:rtl w:val="0"/>
        </w:rPr>
        <w:t xml:space="preserve"> a "Humanitarian Reset" that prioritizes Localization, shifting funds away from expensive international agencies and directly to local NGOs who can deliver aid more cheaply and effectively ;</w:t>
      </w:r>
    </w:p>
    <w:p w:rsidR="00000000" w:rsidDel="00000000" w:rsidP="00000000" w:rsidRDefault="00000000" w:rsidRPr="00000000" w14:paraId="0000001E">
      <w:pPr>
        <w:numPr>
          <w:ilvl w:val="0"/>
          <w:numId w:val="1"/>
        </w:numPr>
        <w:spacing w:after="0" w:afterAutospacing="0" w:before="0" w:beforeAutospacing="0" w:line="36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Urges </w:t>
      </w:r>
      <w:r w:rsidDel="00000000" w:rsidR="00000000" w:rsidRPr="00000000">
        <w:rPr>
          <w:rFonts w:ascii="Times New Roman" w:cs="Times New Roman" w:eastAsia="Times New Roman" w:hAnsi="Times New Roman"/>
          <w:sz w:val="23"/>
          <w:szCs w:val="23"/>
          <w:rtl w:val="0"/>
        </w:rPr>
        <w:t xml:space="preserve">the IMF to give developing nations better access to Special Drawing Rights (SDRs), effectively re-channeling "unused coupons" from rich countries to provide immediate cash for food and fuel in countries facing economic shocks ;</w:t>
      </w:r>
    </w:p>
    <w:p w:rsidR="00000000" w:rsidDel="00000000" w:rsidP="00000000" w:rsidRDefault="00000000" w:rsidRPr="00000000" w14:paraId="0000001F">
      <w:pPr>
        <w:numPr>
          <w:ilvl w:val="0"/>
          <w:numId w:val="1"/>
        </w:numPr>
        <w:spacing w:after="240" w:before="0" w:beforeAutospacing="0" w:line="360" w:lineRule="auto"/>
        <w:ind w:left="720" w:hanging="360"/>
        <w:jc w:val="left"/>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i w:val="1"/>
          <w:iCs w:val="1"/>
          <w:sz w:val="23"/>
          <w:szCs w:val="23"/>
          <w:rtl w:val="0"/>
        </w:rPr>
        <w:t xml:space="preserve">Decides</w:t>
      </w:r>
      <w:r w:rsidDel="00000000" w:rsidR="00000000" w:rsidRPr="00000000">
        <w:rPr>
          <w:rFonts w:ascii="Times New Roman" w:cs="Times New Roman" w:eastAsia="Times New Roman" w:hAnsi="Times New Roman"/>
          <w:sz w:val="23"/>
          <w:szCs w:val="23"/>
          <w:rtl w:val="0"/>
        </w:rPr>
        <w:t xml:space="preserve"> to remain actively seized of the matter.</w:t>
      </w:r>
      <w:r w:rsidDel="00000000" w:rsidR="00000000" w:rsidRPr="00000000">
        <w:rPr>
          <w:rtl w:val="0"/>
        </w:rPr>
      </w:r>
    </w:p>
    <w:p w:rsidR="00000000" w:rsidDel="00000000" w:rsidP="00000000" w:rsidRDefault="00000000" w:rsidRPr="00000000" w14:paraId="00000020">
      <w:pPr>
        <w:spacing w:after="20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1">
      <w:pPr>
        <w:spacing w:after="200" w:lineRule="auto"/>
        <w:ind w:left="0" w:firstLine="0"/>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2">
      <w:pPr>
        <w:spacing w:after="20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3">
      <w:pPr>
        <w:spacing w:after="20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4">
      <w:pPr>
        <w:spacing w:after="20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25">
      <w:pPr>
        <w:spacing w:after="200" w:lineRule="auto"/>
        <w:rPr>
          <w:rFonts w:ascii="Times New Roman" w:cs="Times New Roman" w:eastAsia="Times New Roman" w:hAnsi="Times New Roman"/>
          <w:sz w:val="23"/>
          <w:szCs w:val="23"/>
        </w:rPr>
      </w:pPr>
      <w:r w:rsidDel="00000000" w:rsidR="00000000" w:rsidRPr="00000000">
        <w:rPr>
          <w:rtl w:val="0"/>
        </w:rPr>
      </w:r>
    </w:p>
    <w:sectPr>
      <w:headerReference r:id="rId8"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(A or B)</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3429B"/>
    <w:pPr>
      <w:tabs>
        <w:tab w:val="center" w:pos="4252"/>
        <w:tab w:val="right" w:pos="8504"/>
      </w:tabs>
      <w:snapToGrid w:val="0"/>
    </w:pPr>
  </w:style>
  <w:style w:type="character" w:styleId="a5" w:customStyle="1">
    <w:name w:val="ヘッダー (文字)"/>
    <w:basedOn w:val="a0"/>
    <w:link w:val="a4"/>
    <w:uiPriority w:val="99"/>
    <w:rsid w:val="00D3429B"/>
  </w:style>
  <w:style w:type="paragraph" w:styleId="a6">
    <w:name w:val="footer"/>
    <w:basedOn w:val="a"/>
    <w:link w:val="a7"/>
    <w:uiPriority w:val="99"/>
    <w:unhideWhenUsed w:val="1"/>
    <w:rsid w:val="00D3429B"/>
    <w:pPr>
      <w:tabs>
        <w:tab w:val="center" w:pos="4252"/>
        <w:tab w:val="right" w:pos="8504"/>
      </w:tabs>
      <w:snapToGrid w:val="0"/>
    </w:pPr>
  </w:style>
  <w:style w:type="character" w:styleId="a7" w:customStyle="1">
    <w:name w:val="フッター (文字)"/>
    <w:basedOn w:val="a0"/>
    <w:link w:val="a6"/>
    <w:uiPriority w:val="99"/>
    <w:rsid w:val="00D3429B"/>
  </w:style>
  <w:style w:type="paragraph" w:styleId="a8">
    <w:name w:val="List Paragraph"/>
    <w:basedOn w:val="a"/>
    <w:uiPriority w:val="34"/>
    <w:qFormat w:val="1"/>
    <w:rsid w:val="00C81283"/>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4DBW/og3UdODy2znBvk0AN0nlA==">CgMxLjA4AHIhMUNUd0llcnBDcURiWWRPZW5YQVBmRHdfZERidHJQdTQ5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2023-12-30T05:48:00Z</dcterms:created>
  <dc:creator>持田　隼人</dc:creator>
</cp:coreProperties>
</file>