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sz w:val="20"/>
          <w:szCs w:val="20"/>
        </w:rPr>
      </w:pPr>
      <w:r w:rsidDel="00000000" w:rsidR="00000000" w:rsidRPr="00000000">
        <w:rPr>
          <w:rFonts w:ascii="Gungsuh" w:cs="Gungsuh" w:eastAsia="Gungsuh" w:hAnsi="Gungsuh"/>
          <w:sz w:val="20"/>
          <w:szCs w:val="20"/>
          <w:rtl w:val="0"/>
        </w:rPr>
        <w:t xml:space="preserve">｀</w:t>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widowControl w:val="0"/>
              <w:spacing w:line="240" w:lineRule="auto"/>
              <w:ind w:firstLine="72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MA/80/</w:t>
            </w:r>
            <w:r w:rsidDel="00000000" w:rsidR="00000000" w:rsidRPr="00000000">
              <w:rPr>
                <w:rFonts w:ascii="Times New Roman" w:cs="Times New Roman" w:eastAsia="Times New Roman" w:hAnsi="Times New Roman"/>
                <w:b w:val="1"/>
                <w:bCs w:val="1"/>
                <w:i w:val="1"/>
                <w:iCs w:val="1"/>
                <w:sz w:val="20"/>
                <w:szCs w:val="20"/>
                <w:rtl w:val="0"/>
              </w:rPr>
              <w:t xml:space="preserve">WP</w:t>
            </w:r>
            <w:r w:rsidDel="00000000" w:rsidR="00000000" w:rsidRPr="00000000">
              <w:rPr>
                <w:rFonts w:ascii="Times New Roman" w:cs="Times New Roman" w:eastAsia="Times New Roman" w:hAnsi="Times New Roman"/>
                <w:i w:val="1"/>
                <w:iCs w:val="1"/>
                <w:sz w:val="20"/>
                <w:szCs w:val="20"/>
                <w:rtl w:val="0"/>
              </w:rPr>
              <w:t xml:space="preserve">.xx  </w:t>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United Nations</w:t>
            </w:r>
          </w:p>
          <w:p w:rsidR="00000000" w:rsidDel="00000000" w:rsidP="00000000" w:rsidRDefault="00000000" w:rsidRPr="00000000" w14:paraId="00000007">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General Assembly</w:t>
            </w:r>
          </w:p>
        </w:tc>
        <w:tc>
          <w:tcPr>
            <w:tcBorders>
              <w:top w:color="000000" w:space="0" w:sz="12" w:val="single"/>
            </w:tcBorders>
            <w:vAlign w:val="center"/>
          </w:tcPr>
          <w:p w:rsidR="00000000" w:rsidDel="00000000" w:rsidP="00000000" w:rsidRDefault="00000000" w:rsidRPr="00000000" w14:paraId="00000008">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Distr.:General</w:t>
            </w:r>
          </w:p>
        </w:tc>
      </w:tr>
      <w:tr>
        <w:trPr>
          <w:cantSplit w:val="0"/>
          <w:trHeight w:val="153" w:hRule="atLeast"/>
          <w:tblHeader w:val="0"/>
        </w:trPr>
        <w:tc>
          <w:tcPr/>
          <w:p w:rsidR="00000000" w:rsidDel="00000000" w:rsidP="00000000" w:rsidRDefault="00000000" w:rsidRPr="00000000" w14:paraId="00000009">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-238759</wp:posOffset>
                  </wp:positionV>
                  <wp:extent cx="734886" cy="69108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11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widowControl w:val="0"/>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widowControl w:val="0"/>
              <w:spacing w:line="240" w:lineRule="auto"/>
              <w:ind w:firstLine="720"/>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Original: English</w:t>
            </w:r>
          </w:p>
        </w:tc>
      </w:tr>
    </w:tbl>
    <w:p w:rsidR="00000000" w:rsidDel="00000000" w:rsidP="00000000" w:rsidRDefault="00000000" w:rsidRPr="00000000" w14:paraId="0000000F">
      <w:pPr>
        <w:widowControl w:val="0"/>
        <w:spacing w:line="240" w:lineRule="auto"/>
        <w:ind w:firstLine="72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t xml:space="preserve">Eightieth Session</w:t>
      </w:r>
    </w:p>
    <w:p w:rsidR="00000000" w:rsidDel="00000000" w:rsidP="00000000" w:rsidRDefault="00000000" w:rsidRPr="00000000" w14:paraId="00000010">
      <w:pPr>
        <w:widowControl w:val="0"/>
        <w:spacing w:line="240" w:lineRule="auto"/>
        <w:ind w:firstLine="72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Agenda item XX</w:t>
        <w:br w:type="textWrapping"/>
      </w:r>
      <w:r w:rsidDel="00000000" w:rsidR="00000000" w:rsidRPr="00000000">
        <w:rPr>
          <w:rFonts w:ascii="Times New Roman" w:cs="Times New Roman" w:eastAsia="Times New Roman" w:hAnsi="Times New Roman"/>
          <w:b w:val="1"/>
          <w:bCs w:val="1"/>
          <w:i w:val="1"/>
          <w:iCs w:val="1"/>
          <w:sz w:val="20"/>
          <w:szCs w:val="20"/>
          <w:rtl w:val="0"/>
        </w:rPr>
        <w:t xml:space="preserve">General Measures for Food Security Caused by Conflict</w:t>
      </w:r>
    </w:p>
    <w:p w:rsidR="00000000" w:rsidDel="00000000" w:rsidP="00000000" w:rsidRDefault="00000000" w:rsidRPr="00000000" w14:paraId="00000011">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2">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Sponsors: Afghanistan, Argentina, Armenia, Bangladesh, Bosnia and Herzegovina, Iran, Iraq, Jordan, Kenya, Lebanon, Malaysia, Myanmar, Pakistan, Panama, Philippines, Qatar, Republic of Korea, Saudi Arabia, South Africa, Syria, Thailand, Turkey, Ukraine, Vietnam, Yemen</w:t>
      </w:r>
    </w:p>
    <w:p w:rsidR="00000000" w:rsidDel="00000000" w:rsidP="00000000" w:rsidRDefault="00000000" w:rsidRPr="00000000" w14:paraId="00000013">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4">
      <w:pPr>
        <w:widowControl w:val="0"/>
        <w:spacing w:line="240" w:lineRule="auto"/>
        <w:ind w:firstLine="72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5">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all relevant Security Council resolutions, including resolutions 1296 (2000), 1894 (2009), 2175 (2014), and 2286 (2016), and its Presidential Statement of 9 August 2017,</w:t>
      </w:r>
    </w:p>
    <w:p w:rsidR="00000000" w:rsidDel="00000000" w:rsidP="00000000" w:rsidRDefault="00000000" w:rsidRPr="00000000" w14:paraId="00000016">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Deeply concerned</w:t>
      </w:r>
      <w:r w:rsidDel="00000000" w:rsidR="00000000" w:rsidRPr="00000000">
        <w:rPr>
          <w:rFonts w:ascii="Times New Roman" w:cs="Times New Roman" w:eastAsia="Times New Roman" w:hAnsi="Times New Roman"/>
          <w:sz w:val="20"/>
          <w:szCs w:val="20"/>
          <w:rtl w:val="0"/>
        </w:rPr>
        <w:t xml:space="preserve"> about the level of global humanitarian needs and the threat of famine presently facing millions of people in armed conflicts, as well as about the number of undernourished people in the world, which, after decades of decreasing, increased over the last two years, with the majority of food insecure people and seventy-five percent of all stunted children under the age of five living in countries affected by armed conflict, amounting to 74 million people facing crisis food insecurity or worse in situations of armed conflict,</w:t>
      </w:r>
    </w:p>
    <w:p w:rsidR="00000000" w:rsidDel="00000000" w:rsidP="00000000" w:rsidRDefault="00000000" w:rsidRPr="00000000" w14:paraId="00000017">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w:t>
      </w:r>
      <w:r w:rsidDel="00000000" w:rsidR="00000000" w:rsidRPr="00000000">
        <w:rPr>
          <w:rFonts w:ascii="Times New Roman" w:cs="Times New Roman" w:eastAsia="Times New Roman" w:hAnsi="Times New Roman"/>
          <w:sz w:val="20"/>
          <w:szCs w:val="20"/>
          <w:rtl w:val="0"/>
        </w:rPr>
        <w:t xml:space="preserve"> the devastating impact on civilians of ongoing armed conflict and related violence, and emphasising with deep concern that ongoing armed conflicts and violence have devastating humanitarian consequences, often hindering an effective humanitarian response, and are therefore a major cause of the current risk of famine,</w:t>
      </w:r>
    </w:p>
    <w:p w:rsidR="00000000" w:rsidDel="00000000" w:rsidP="00000000" w:rsidRDefault="00000000" w:rsidRPr="00000000" w14:paraId="00000018">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Geneva Conventions of 1949 and their Additional Protocols of 1977, and the obligation of High Contracting Parties and parties to armed conflict to respect and ensure respect for international humanitarian law in all circumstances,</w:t>
      </w:r>
    </w:p>
    <w:p w:rsidR="00000000" w:rsidDel="00000000" w:rsidP="00000000" w:rsidRDefault="00000000" w:rsidRPr="00000000" w14:paraId="00000019">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Stressing</w:t>
      </w:r>
      <w:r w:rsidDel="00000000" w:rsidR="00000000" w:rsidRPr="00000000">
        <w:rPr>
          <w:rFonts w:ascii="Times New Roman" w:cs="Times New Roman" w:eastAsia="Times New Roman" w:hAnsi="Times New Roman"/>
          <w:sz w:val="20"/>
          <w:szCs w:val="20"/>
          <w:rtl w:val="0"/>
        </w:rPr>
        <w:t xml:space="preserve"> that responding effectively to humanitarian needs in armed conflict, including the threat of conflict-induced famine and food insecurity in situations of armed conflict, requires respect for international humanitarian law by all parties to conflict, underlining the parties’ obligations related to protecting civilians and civilian objects, meeting the basic needs of the civilian population within their territory or under their effective control, and allowing and facilitating the rapid and unimpeded passage of impartial humanitarian relief to all those in need,</w:t>
      </w:r>
    </w:p>
    <w:p w:rsidR="00000000" w:rsidDel="00000000" w:rsidP="00000000" w:rsidRDefault="00000000" w:rsidRPr="00000000" w14:paraId="0000001A">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its intention to mandate United Nations peacekeeping and other relevant missions, where appropriate, to assist in creating conditions conducive to safe, timely, and unimpeded humanitarian assistance,</w:t>
      </w:r>
    </w:p>
    <w:p w:rsidR="00000000" w:rsidDel="00000000" w:rsidP="00000000" w:rsidRDefault="00000000" w:rsidRPr="00000000" w14:paraId="0000001B">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Demanding</w:t>
      </w:r>
      <w:r w:rsidDel="00000000" w:rsidR="00000000" w:rsidRPr="00000000">
        <w:rPr>
          <w:rFonts w:ascii="Times New Roman" w:cs="Times New Roman" w:eastAsia="Times New Roman" w:hAnsi="Times New Roman"/>
          <w:sz w:val="20"/>
          <w:szCs w:val="20"/>
          <w:rtl w:val="0"/>
        </w:rPr>
        <w:t xml:space="preserve"> that all parties to armed conflicts fully comply with their obligations under international law, including international human rights law, as applicable, and international humanitarian law, in particular their obligations under the Geneva Conventions of 1949 and the obligations of applicable to them under the Additional Protocols thereto of 1977 and 2005, to ensure the respect and protection of all medical personnel and humanitarian personnel exclusively engaged in medical duties, their means of transport and equipment, as well as hospitals and other medical facilities,</w:t>
      </w:r>
    </w:p>
    <w:p w:rsidR="00000000" w:rsidDel="00000000" w:rsidP="00000000" w:rsidRDefault="00000000" w:rsidRPr="00000000" w14:paraId="0000001C">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primary responsibility of States to protect the population throughout their whole territory,</w:t>
      </w:r>
    </w:p>
    <w:p w:rsidR="00000000" w:rsidDel="00000000" w:rsidP="00000000" w:rsidRDefault="00000000" w:rsidRPr="00000000" w14:paraId="0000001D">
      <w:pPr>
        <w:widowControl w:val="0"/>
        <w:spacing w:after="240" w:before="240" w:line="240" w:lineRule="auto"/>
        <w:ind w:lef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contribution of the World Food Programme (WFP), the Food and Agriculture Organization (FAO), the International Fund for Agricultural Development (IFAD), </w:t>
      </w:r>
    </w:p>
    <w:p w:rsidR="00000000" w:rsidDel="00000000" w:rsidP="00000000" w:rsidRDefault="00000000" w:rsidRPr="00000000" w14:paraId="0000001E">
      <w:pPr>
        <w:widowControl w:val="0"/>
        <w:spacing w:after="240" w:before="24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Appreciating </w:t>
      </w:r>
      <w:r w:rsidDel="00000000" w:rsidR="00000000" w:rsidRPr="00000000">
        <w:rPr>
          <w:rFonts w:ascii="Times New Roman" w:cs="Times New Roman" w:eastAsia="Times New Roman" w:hAnsi="Times New Roman"/>
          <w:sz w:val="20"/>
          <w:szCs w:val="20"/>
          <w:rtl w:val="0"/>
        </w:rPr>
        <w:t xml:space="preserve">the contribution of the </w:t>
      </w:r>
      <w:r w:rsidDel="00000000" w:rsidR="00000000" w:rsidRPr="00000000">
        <w:rPr>
          <w:rFonts w:ascii="Times New Roman" w:cs="Times New Roman" w:eastAsia="Times New Roman" w:hAnsi="Times New Roman"/>
          <w:sz w:val="20"/>
          <w:szCs w:val="20"/>
          <w:rtl w:val="0"/>
        </w:rPr>
        <w:t xml:space="preserve">United Nations Children’s Fund (UNICEF) in addressing food insecurity, the United Nations Office for Project Services (UNOPS), and </w:t>
      </w:r>
      <w:r w:rsidDel="00000000" w:rsidR="00000000" w:rsidRPr="00000000">
        <w:rPr>
          <w:rFonts w:ascii="Times New Roman" w:cs="Times New Roman" w:eastAsia="Times New Roman" w:hAnsi="Times New Roman"/>
          <w:sz w:val="20"/>
          <w:szCs w:val="20"/>
          <w:highlight w:val="white"/>
          <w:rtl w:val="0"/>
        </w:rPr>
        <w:t xml:space="preserve">United Nations High Commissioner for Human Rights (</w:t>
      </w:r>
      <w:r w:rsidDel="00000000" w:rsidR="00000000" w:rsidRPr="00000000">
        <w:rPr>
          <w:rFonts w:ascii="Times New Roman" w:cs="Times New Roman" w:eastAsia="Times New Roman" w:hAnsi="Times New Roman"/>
          <w:sz w:val="20"/>
          <w:szCs w:val="20"/>
          <w:rtl w:val="0"/>
        </w:rPr>
        <w:t xml:space="preserve">UNHCR),</w:t>
      </w:r>
      <w:r w:rsidDel="00000000" w:rsidR="00000000" w:rsidRPr="00000000">
        <w:rPr>
          <w:rtl w:val="0"/>
        </w:rPr>
      </w:r>
    </w:p>
    <w:p w:rsidR="00000000" w:rsidDel="00000000" w:rsidP="00000000" w:rsidRDefault="00000000" w:rsidRPr="00000000" w14:paraId="0000001F">
      <w:pPr>
        <w:widowControl w:val="0"/>
        <w:numPr>
          <w:ilvl w:val="0"/>
          <w:numId w:val="1"/>
        </w:numPr>
        <w:spacing w:after="0" w:afterAutospacing="0" w:before="24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the international community to urgently support countries affected by the food security crisis through coordinated actions, including the provision of emergency food supplies, food programmes, financial support, and increased and diversified agricultural production, and to promote a universal, rules-based, open, non-discriminatory and equitable multilateral trading system under the World Trade Organization;</w:t>
        <w:br w:type="textWrapping"/>
      </w:r>
    </w:p>
    <w:p w:rsidR="00000000" w:rsidDel="00000000" w:rsidP="00000000" w:rsidRDefault="00000000" w:rsidRPr="00000000" w14:paraId="00000020">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on the international community to invest in post-conflict agricultural recovery and livelihood restoration, including the provision of seeds, tools, livestock, training, and microfinance to rebuild domestic farmers’ capacities and diversify rural economies;</w:t>
        <w:br w:type="textWrapping"/>
      </w:r>
    </w:p>
    <w:p w:rsidR="00000000" w:rsidDel="00000000" w:rsidP="00000000" w:rsidRDefault="00000000" w:rsidRPr="00000000" w14:paraId="00000021">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increased foreign investment and assistance in rehabilitating and strengthening food-related infrastructure damaged by conflict — such as irrigation systems, roads, storage facilities, and markets — ensuring that reconstruction incorporates resilience to future shocks;</w:t>
        <w:br w:type="textWrapping"/>
      </w:r>
    </w:p>
    <w:p w:rsidR="00000000" w:rsidDel="00000000" w:rsidP="00000000" w:rsidRDefault="00000000" w:rsidRPr="00000000" w14:paraId="00000022">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donors to provide technical, logistical, and material support to United Nations and NGO humanitarian operations addressing food insecurity, including by strengthening logistical hubs, warehousing, and local procurement capacity to enable rapid food aid delivery;</w:t>
        <w:br w:type="textWrapping"/>
      </w:r>
    </w:p>
    <w:p w:rsidR="00000000" w:rsidDel="00000000" w:rsidP="00000000" w:rsidRDefault="00000000" w:rsidRPr="00000000" w14:paraId="00000023">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and international organizations to share technology and innovations with conflict-affected countries, such as climate-smart agriculture, satellite monitoring of crops, drought-resistant seeds, and digital tools, to enhance food production and supply chain resilience;</w:t>
        <w:br w:type="textWrapping"/>
      </w:r>
    </w:p>
    <w:p w:rsidR="00000000" w:rsidDel="00000000" w:rsidP="00000000" w:rsidRDefault="00000000" w:rsidRPr="00000000" w14:paraId="00000024">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for macroeconomic and trade policy support to stabilize economies affected by conflict-related food crises, such as debt relief, foreign exchange support for food imports, and measures to maintain open trade of essential food commodities;</w:t>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25">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support for internally displaced persons, refugees, and their host communities in crisis-affected areas, including through targeted livelihood assistance and nutrition programs, to ensure that all vulnerable populations maintain access to adequate food during protracted crises;</w:t>
      </w: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p w:rsidR="00000000" w:rsidDel="00000000" w:rsidP="00000000" w:rsidRDefault="00000000" w:rsidRPr="00000000" w14:paraId="00000026">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that addressing food insecurity caused by armed conflict requires a comprehensive approach guided by the principles of the Charter of the United Nations and relevant international legal frameworks, including international humanitarian and human rights law, and reaffirms the right to food as a fundamental human right;</w:t>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27">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parties to armed conflict to fully comply with their obligations under international humanitarian law, to protect civilians and civilian infrastructure essential for food security, and to facilitate safe and unimpeded humanitarian access to those in need;</w:t>
        <w:br w:type="textWrapping"/>
      </w:r>
    </w:p>
    <w:p w:rsidR="00000000" w:rsidDel="00000000" w:rsidP="00000000" w:rsidRDefault="00000000" w:rsidRPr="00000000" w14:paraId="00000028">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for the safeguarding of food production </w:t>
      </w:r>
      <w:r w:rsidDel="00000000" w:rsidR="00000000" w:rsidRPr="00000000">
        <w:rPr>
          <w:rFonts w:ascii="Times New Roman" w:cs="Times New Roman" w:eastAsia="Times New Roman" w:hAnsi="Times New Roman"/>
          <w:sz w:val="20"/>
          <w:szCs w:val="20"/>
          <w:rtl w:val="0"/>
        </w:rPr>
        <w:t xml:space="preserve">globally</w:t>
      </w:r>
      <w:r w:rsidDel="00000000" w:rsidR="00000000" w:rsidRPr="00000000">
        <w:rPr>
          <w:rFonts w:ascii="Times New Roman" w:cs="Times New Roman" w:eastAsia="Times New Roman" w:hAnsi="Times New Roman"/>
          <w:sz w:val="20"/>
          <w:szCs w:val="20"/>
          <w:rtl w:val="0"/>
        </w:rPr>
        <w:t xml:space="preserve">, including agricultural land, farms, storage facilities, and transport routes, from the impacts of armed conflict, and emphasizes the importance of protecting farmers and food supply workers to preserve local and national food supplies;</w:t>
        <w:br w:type="textWrapping"/>
      </w:r>
    </w:p>
    <w:p w:rsidR="00000000" w:rsidDel="00000000" w:rsidP="00000000" w:rsidRDefault="00000000" w:rsidRPr="00000000" w14:paraId="00000029">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Member States and relevant international and regional organizations to integrate food security considerations into conflict prevention and peacebuilding strategies, including addressing resource competition and climate shocks that may trigger or exacerbate conflicts, to reduce the risk of food crises;</w:t>
        <w:br w:type="textWrapping"/>
      </w:r>
    </w:p>
    <w:p w:rsidR="00000000" w:rsidDel="00000000" w:rsidP="00000000" w:rsidRDefault="00000000" w:rsidRPr="00000000" w14:paraId="0000002A">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capable states to assist in the</w:t>
      </w:r>
      <w:r w:rsidDel="00000000" w:rsidR="00000000" w:rsidRPr="00000000">
        <w:rPr>
          <w:rFonts w:ascii="Times New Roman" w:cs="Times New Roman" w:eastAsia="Times New Roman" w:hAnsi="Times New Roman"/>
          <w:sz w:val="20"/>
          <w:szCs w:val="20"/>
          <w:rtl w:val="0"/>
        </w:rPr>
        <w:t xml:space="preserve"> development of robust early-warning systems and contingency plans that monitor food security and nutrition indicators in conflict-affected areas, and calls for the establishment of clear anticipatory action thresholds to trigger timely humanitarian interventions before conditions deteriorate into famine or mass malnutrition;;</w:t>
        <w:br w:type="textWrapping"/>
      </w:r>
    </w:p>
    <w:p w:rsidR="00000000" w:rsidDel="00000000" w:rsidP="00000000" w:rsidRDefault="00000000" w:rsidRPr="00000000" w14:paraId="0000002B">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Member States and media outlets to ensure that accurate information about food availability and humanitarian assistance reaches affected populations, and to counter misinformation and propaganda that could exacerbate food insecurity or social tensions during conflicts;</w:t>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2C">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parties to armed conflict to allow and facilitate safe, sustained, and predictable humanitarian access for food and relief supplies, and encourages the use of </w:t>
      </w:r>
      <w:r w:rsidDel="00000000" w:rsidR="00000000" w:rsidRPr="00000000">
        <w:rPr>
          <w:rFonts w:ascii="Times New Roman" w:cs="Times New Roman" w:eastAsia="Times New Roman" w:hAnsi="Times New Roman"/>
          <w:sz w:val="20"/>
          <w:szCs w:val="20"/>
          <w:rtl w:val="0"/>
        </w:rPr>
        <w:t xml:space="preserve">negotiation</w:t>
      </w:r>
      <w:r w:rsidDel="00000000" w:rsidR="00000000" w:rsidRPr="00000000">
        <w:rPr>
          <w:rFonts w:ascii="Times New Roman" w:cs="Times New Roman" w:eastAsia="Times New Roman" w:hAnsi="Times New Roman"/>
          <w:sz w:val="20"/>
          <w:szCs w:val="20"/>
          <w:rtl w:val="0"/>
        </w:rPr>
        <w:t xml:space="preserve"> to prevent attacks on aid workers and convoys </w:t>
      </w:r>
      <w:r w:rsidDel="00000000" w:rsidR="00000000" w:rsidRPr="00000000">
        <w:rPr>
          <w:rFonts w:ascii="Times New Roman" w:cs="Times New Roman" w:eastAsia="Times New Roman" w:hAnsi="Times New Roman"/>
          <w:sz w:val="20"/>
          <w:szCs w:val="20"/>
          <w:rtl w:val="0"/>
        </w:rPr>
        <w:t xml:space="preserve">to protect civilian life;</w:t>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2D">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able Member States and humanitarian agencies to provide diversified emergency food assistance modalities — including general food distributions, food vouchers, cash transfers, and school feeding programs — tailored to local contexts and with a focus on meeting basic caloric and nutritional needs;</w:t>
        <w:br w:type="textWrapping"/>
      </w:r>
    </w:p>
    <w:p w:rsidR="00000000" w:rsidDel="00000000" w:rsidP="00000000" w:rsidRDefault="00000000" w:rsidRPr="00000000" w14:paraId="0000002E">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the need for integrated emergency nutrition programs in conflict emergencies, including therapeutic feeding for severe acute malnutrition, micronutrient supplementation, and support for breastfeeding and infant nutrition, to prevent life-threatening malnutrition among the vulnerable population, such as women and children, older persons, and persons with disabilities;</w:t>
        <w:br w:type="textWrapping"/>
      </w:r>
    </w:p>
    <w:p w:rsidR="00000000" w:rsidDel="00000000" w:rsidP="00000000" w:rsidRDefault="00000000" w:rsidRPr="00000000" w14:paraId="0000002F">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Calls</w:t>
      </w:r>
      <w:r w:rsidDel="00000000" w:rsidR="00000000" w:rsidRPr="00000000">
        <w:rPr>
          <w:rFonts w:ascii="Times New Roman" w:cs="Times New Roman" w:eastAsia="Times New Roman" w:hAnsi="Times New Roman"/>
          <w:sz w:val="20"/>
          <w:szCs w:val="20"/>
          <w:rtl w:val="0"/>
        </w:rPr>
        <w:t xml:space="preserve"> upon Member States and other relevant stakeholders, in their own countries, to keep food and agriculture supply chains functioning, including capacity for seeding, protecting standing crops, rearing livestock, and infrastructure for processing food, and to ensure the continued trade in and movement of food and livestock products and inputs essential for agricultural and food production to markets;;</w:t>
        <w:br w:type="textWrapping"/>
      </w:r>
    </w:p>
    <w:p w:rsidR="00000000" w:rsidDel="00000000" w:rsidP="00000000" w:rsidRDefault="00000000" w:rsidRPr="00000000" w14:paraId="00000030">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the need to keep trade channels and markets open for the movement of food, fuel, fertilizer, and other agricultural inputs and outputs, and notes the importance of working towards eliminating all forms of protectionism;;</w:t>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31">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use of targeted economic measures to stabilize markets during conflict crises, such as strategic grain releases, temporary subsidies or cash transfers for the poorest, and careful management of import and export restrictions to mitigate inflation and ensure the affordability of essential food;;</w:t>
      </w: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32">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international community to deploy diplomatic and economic leverage to discourage the use of starvation as a method of warfare, and to support parties that facilitate humanitarian access and comply with food security obligations;</w:t>
      </w:r>
    </w:p>
    <w:p w:rsidR="00000000" w:rsidDel="00000000" w:rsidP="00000000" w:rsidRDefault="00000000" w:rsidRPr="00000000" w14:paraId="00000033">
      <w:pPr>
        <w:widowControl w:val="0"/>
        <w:numPr>
          <w:ilvl w:val="0"/>
          <w:numId w:val="1"/>
        </w:numPr>
        <w:spacing w:after="0" w:afterAutospacing="0" w:before="0" w:beforeAutospacing="0" w:line="240" w:lineRule="auto"/>
        <w:ind w:left="720" w:hanging="360"/>
        <w:rPr>
          <w:i w:val="1"/>
          <w:iCs w:val="1"/>
        </w:rPr>
      </w:pPr>
      <w:r w:rsidDel="00000000" w:rsidR="00000000" w:rsidRPr="00000000">
        <w:rPr>
          <w:rFonts w:ascii="Times New Roman" w:cs="Times New Roman" w:eastAsia="Times New Roman" w:hAnsi="Times New Roman"/>
          <w:i w:val="1"/>
          <w:iCs w:val="1"/>
          <w:sz w:val="20"/>
          <w:szCs w:val="20"/>
          <w:rtl w:val="0"/>
        </w:rPr>
        <w:t xml:space="preserve">Supports</w:t>
      </w:r>
      <w:r w:rsidDel="00000000" w:rsidR="00000000" w:rsidRPr="00000000">
        <w:rPr>
          <w:rFonts w:ascii="Times New Roman" w:cs="Times New Roman" w:eastAsia="Times New Roman" w:hAnsi="Times New Roman"/>
          <w:sz w:val="20"/>
          <w:szCs w:val="20"/>
          <w:rtl w:val="0"/>
        </w:rPr>
        <w:t xml:space="preserve"> cooperative resource-sharing among neighboring states, with particular regard to water, energy, and land critical for cultivation;</w:t>
      </w:r>
    </w:p>
    <w:p w:rsidR="00000000" w:rsidDel="00000000" w:rsidP="00000000" w:rsidRDefault="00000000" w:rsidRPr="00000000" w14:paraId="00000034">
      <w:pPr>
        <w:widowControl w:val="0"/>
        <w:numPr>
          <w:ilvl w:val="0"/>
          <w:numId w:val="1"/>
        </w:numPr>
        <w:spacing w:line="240" w:lineRule="auto"/>
        <w:ind w:left="720" w:hanging="360"/>
        <w:jc w:val="both"/>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a Tiered Response Strategy to achieve self-sufficiency, which:</w:t>
      </w:r>
    </w:p>
    <w:p w:rsidR="00000000" w:rsidDel="00000000" w:rsidP="00000000" w:rsidRDefault="00000000" w:rsidRPr="00000000" w14:paraId="00000035">
      <w:pPr>
        <w:widowControl w:val="0"/>
        <w:numPr>
          <w:ilvl w:val="1"/>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Priority A: For nations currently experiencing conflict, and focuses on immediate air-drops, mobile kitchens, and rapid-response nutritional kits;</w:t>
      </w:r>
    </w:p>
    <w:p w:rsidR="00000000" w:rsidDel="00000000" w:rsidP="00000000" w:rsidRDefault="00000000" w:rsidRPr="00000000" w14:paraId="00000036">
      <w:pPr>
        <w:widowControl w:val="0"/>
        <w:numPr>
          <w:ilvl w:val="1"/>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Priority B: For nations in post-conflict situations, and focuses on a “cash-for-work” rehabilitation to a short-term humanitarian assistance intervention that provides temporary employment to vulnerable populations in exchange for a cash wage of local markets and the clearing of landmines from arable soil;</w:t>
      </w:r>
    </w:p>
    <w:p w:rsidR="00000000" w:rsidDel="00000000" w:rsidP="00000000" w:rsidRDefault="00000000" w:rsidRPr="00000000" w14:paraId="00000037">
      <w:pPr>
        <w:widowControl w:val="0"/>
        <w:numPr>
          <w:ilvl w:val="1"/>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Priority C: For countries recovered from conflict, and focuses on the transition to fully national-managed sustainable agricultural systems;</w:t>
      </w:r>
    </w:p>
    <w:p w:rsidR="00000000" w:rsidDel="00000000" w:rsidP="00000000" w:rsidRDefault="00000000" w:rsidRPr="00000000" w14:paraId="00000038">
      <w:pPr>
        <w:widowControl w:val="0"/>
        <w:numPr>
          <w:ilvl w:val="0"/>
          <w:numId w:val="1"/>
        </w:numPr>
        <w:spacing w:line="240" w:lineRule="auto"/>
        <w:ind w:left="720" w:hanging="360"/>
        <w:jc w:val="both"/>
        <w:rPr/>
      </w:pPr>
      <w:r w:rsidDel="00000000" w:rsidR="00000000" w:rsidRPr="00000000">
        <w:rPr>
          <w:rFonts w:ascii="Times New Roman" w:cs="Times New Roman" w:eastAsia="Times New Roman" w:hAnsi="Times New Roman"/>
          <w:i w:val="1"/>
          <w:iCs w:val="1"/>
          <w:sz w:val="20"/>
          <w:szCs w:val="20"/>
          <w:rtl w:val="0"/>
        </w:rPr>
        <w:t xml:space="preserve">Emphasizes</w:t>
      </w:r>
      <w:r w:rsidDel="00000000" w:rsidR="00000000" w:rsidRPr="00000000">
        <w:rPr>
          <w:rFonts w:ascii="Times New Roman" w:cs="Times New Roman" w:eastAsia="Times New Roman" w:hAnsi="Times New Roman"/>
          <w:sz w:val="20"/>
          <w:szCs w:val="20"/>
          <w:rtl w:val="0"/>
        </w:rPr>
        <w:t xml:space="preserve"> the need for a dual-track approach to aid distribution:</w:t>
      </w:r>
    </w:p>
    <w:p w:rsidR="00000000" w:rsidDel="00000000" w:rsidP="00000000" w:rsidRDefault="00000000" w:rsidRPr="00000000" w14:paraId="00000039">
      <w:pPr>
        <w:widowControl w:val="0"/>
        <w:numPr>
          <w:ilvl w:val="1"/>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Shock-Responsive Interventions: In regions currently experiencing crisis, deploying rapid nutritional support, mobile water purification systems, and temporary labor schemes to preserve household purchasing power and ensure market continuity;</w:t>
      </w:r>
    </w:p>
    <w:p w:rsidR="00000000" w:rsidDel="00000000" w:rsidP="00000000" w:rsidRDefault="00000000" w:rsidRPr="00000000" w14:paraId="0000003A">
      <w:pPr>
        <w:widowControl w:val="0"/>
        <w:numPr>
          <w:ilvl w:val="1"/>
          <w:numId w:val="1"/>
        </w:numPr>
        <w:spacing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Long-term Resilience-Building Interventions: In regions transitioning out of crisis, channeling resources into permanent irrigation networks, agricultural financing institutions, and electrical grid rehabilitation to enable long-term food system recovery and growth;</w:t>
      </w:r>
    </w:p>
    <w:p w:rsidR="00000000" w:rsidDel="00000000" w:rsidP="00000000" w:rsidRDefault="00000000" w:rsidRPr="00000000" w14:paraId="0000003B">
      <w:pPr>
        <w:widowControl w:val="0"/>
        <w:numPr>
          <w:ilvl w:val="0"/>
          <w:numId w:val="1"/>
        </w:numPr>
        <w:spacing w:line="240" w:lineRule="auto"/>
        <w:ind w:left="720" w:hanging="360"/>
        <w:jc w:val="both"/>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that all nutritional aid distributed in volatile regions be funneled through pre-existing, vetted nongovernment international organizations (such as the FAO, WFP, etc) to utilize their established ground-level logistics and prevent the diversion of resources while remaining transparency of the use of received aid;</w:t>
      </w:r>
    </w:p>
    <w:p w:rsidR="00000000" w:rsidDel="00000000" w:rsidP="00000000" w:rsidRDefault="00000000" w:rsidRPr="00000000" w14:paraId="0000003C">
      <w:pPr>
        <w:widowControl w:val="0"/>
        <w:numPr>
          <w:ilvl w:val="0"/>
          <w:numId w:val="1"/>
        </w:numPr>
        <w:spacing w:line="240" w:lineRule="auto"/>
        <w:ind w:left="720" w:hanging="360"/>
        <w:jc w:val="both"/>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diversification of supply sources through South-South Trade Agreements, reducing over-reliance on a single "breadbasket" region and thus mitigating the risk of total supply chain failure;</w:t>
      </w:r>
    </w:p>
    <w:p w:rsidR="00000000" w:rsidDel="00000000" w:rsidP="00000000" w:rsidRDefault="00000000" w:rsidRPr="00000000" w14:paraId="0000003D">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Requests</w:t>
      </w:r>
      <w:r w:rsidDel="00000000" w:rsidR="00000000" w:rsidRPr="00000000">
        <w:rPr>
          <w:rFonts w:ascii="Times New Roman" w:cs="Times New Roman" w:eastAsia="Times New Roman" w:hAnsi="Times New Roman"/>
          <w:sz w:val="20"/>
          <w:szCs w:val="20"/>
          <w:rtl w:val="0"/>
        </w:rPr>
        <w:t xml:space="preserve"> the creation of a report to be made and submitted to IFAD to show the utilization of money given by donor states;</w:t>
      </w:r>
    </w:p>
    <w:p w:rsidR="00000000" w:rsidDel="00000000" w:rsidP="00000000" w:rsidRDefault="00000000" w:rsidRPr="00000000" w14:paraId="0000003E">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Recognizin</w:t>
      </w:r>
      <w:r w:rsidDel="00000000" w:rsidR="00000000" w:rsidRPr="00000000">
        <w:rPr>
          <w:rFonts w:ascii="Times New Roman" w:cs="Times New Roman" w:eastAsia="Times New Roman" w:hAnsi="Times New Roman"/>
          <w:sz w:val="20"/>
          <w:szCs w:val="20"/>
          <w:rtl w:val="0"/>
        </w:rPr>
        <w:t xml:space="preserve">g that some non-conflict countries vulnerable to conflict-related grain and energy price hikes lack sufficient capacity to take preventive measures, we call on developed countries to assist countries in need, including by:</w:t>
      </w:r>
    </w:p>
    <w:p w:rsidR="00000000" w:rsidDel="00000000" w:rsidP="00000000" w:rsidRDefault="00000000" w:rsidRPr="00000000" w14:paraId="0000003F">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Providing technical assistance to strengthen early warning, information sharing, and market analysis capacities to mitigate the impact of conflict-related grain and energy price hikes;</w:t>
      </w:r>
    </w:p>
    <w:p w:rsidR="00000000" w:rsidDel="00000000" w:rsidP="00000000" w:rsidRDefault="00000000" w:rsidRPr="00000000" w14:paraId="00000040">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Providing financial assistance to strengthen social protection, nutritional support, and emergency response capabilities to mitigate the impact of sudden fluctuations in food and energy prices on vulnerable groups;</w:t>
      </w:r>
    </w:p>
    <w:p w:rsidR="00000000" w:rsidDel="00000000" w:rsidP="00000000" w:rsidRDefault="00000000" w:rsidRPr="00000000" w14:paraId="00000041">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Promoting capacity-building assistance to improve stockpiles, distribution infrastructure, and institutional response capabilities to prepare for disruptions and supply instability in international logistics;</w:t>
      </w:r>
    </w:p>
    <w:p w:rsidR="00000000" w:rsidDel="00000000" w:rsidP="00000000" w:rsidRDefault="00000000" w:rsidRPr="00000000" w14:paraId="00000042">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Ensuring that such assistance is provided flexibly, according to countries' circumstances and capabilities, and is implemented in a manner that respects their sovereignty and policy decisions;</w:t>
      </w:r>
    </w:p>
    <w:p w:rsidR="00000000" w:rsidDel="00000000" w:rsidP="00000000" w:rsidRDefault="00000000" w:rsidRPr="00000000" w14:paraId="00000043">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the FAO, WFP, and UNHCR to jointly develop and publicize the Unified United Nations Operational Guidelines on Food Distribution in Refugee Camps, which shall:</w:t>
      </w:r>
    </w:p>
    <w:p w:rsidR="00000000" w:rsidDel="00000000" w:rsidP="00000000" w:rsidRDefault="00000000" w:rsidRPr="00000000" w14:paraId="00000044">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 minimum nutrition standards, including calorie and micronutrient needs, with special attention to women, children, older persons, persons with disabilities, and other vulnerable groups,</w:t>
      </w:r>
    </w:p>
    <w:p w:rsidR="00000000" w:rsidDel="00000000" w:rsidP="00000000" w:rsidRDefault="00000000" w:rsidRPr="00000000" w14:paraId="00000045">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Promote transparent and gender-sensitive food distribution systems to prevent diversion, exploitation, and unequal access,</w:t>
      </w:r>
    </w:p>
    <w:p w:rsidR="00000000" w:rsidDel="00000000" w:rsidP="00000000" w:rsidRDefault="00000000" w:rsidRPr="00000000" w14:paraId="00000046">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Require annual reporting to governments on food access, malnutrition levels, and distribution efficiency in refugee camps;</w:t>
      </w:r>
    </w:p>
    <w:p w:rsidR="00000000" w:rsidDel="00000000" w:rsidP="00000000" w:rsidRDefault="00000000" w:rsidRPr="00000000" w14:paraId="00000047">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Encourages</w:t>
      </w:r>
      <w:r w:rsidDel="00000000" w:rsidR="00000000" w:rsidRPr="00000000">
        <w:rPr>
          <w:rFonts w:ascii="Times New Roman" w:cs="Times New Roman" w:eastAsia="Times New Roman" w:hAnsi="Times New Roman"/>
          <w:sz w:val="20"/>
          <w:szCs w:val="20"/>
          <w:rtl w:val="0"/>
        </w:rPr>
        <w:t xml:space="preserve"> the UNHCR to establish a Food Security Coordination Platform, which shall:</w:t>
      </w:r>
    </w:p>
    <w:p w:rsidR="00000000" w:rsidDel="00000000" w:rsidP="00000000" w:rsidRDefault="00000000" w:rsidRPr="00000000" w14:paraId="00000048">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Facilitate real-time data sharing on refugee population movements, food demand forecasts, and supply-chain disruptions,</w:t>
      </w:r>
    </w:p>
    <w:p w:rsidR="00000000" w:rsidDel="00000000" w:rsidP="00000000" w:rsidRDefault="00000000" w:rsidRPr="00000000" w14:paraId="00000049">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 early-warning systems capable of projecting food insecurity risks,</w:t>
      </w:r>
    </w:p>
    <w:p w:rsidR="00000000" w:rsidDel="00000000" w:rsidP="00000000" w:rsidRDefault="00000000" w:rsidRPr="00000000" w14:paraId="0000004A">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Convene biannual coordination meetings among refugee-hosting States, UNHCR, and regional refugee organizations to enhance emergency preparedness;</w:t>
      </w:r>
    </w:p>
    <w:p w:rsidR="00000000" w:rsidDel="00000000" w:rsidP="00000000" w:rsidRDefault="00000000" w:rsidRPr="00000000" w14:paraId="0000004B">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all capable and willing States to assist countries where refugees constitute more than 1 percent of the population, including:</w:t>
      </w:r>
    </w:p>
    <w:p w:rsidR="00000000" w:rsidDel="00000000" w:rsidP="00000000" w:rsidRDefault="00000000" w:rsidRPr="00000000" w14:paraId="0000004C">
      <w:pPr>
        <w:numPr>
          <w:ilvl w:val="1"/>
          <w:numId w:val="1"/>
        </w:numPr>
        <w:spacing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 support for national policies that ensure minimum nutritional standards for refugees and internally displaced persons while supporting social and economic integration.</w:t>
      </w:r>
    </w:p>
    <w:p w:rsidR="00000000" w:rsidDel="00000000" w:rsidP="00000000" w:rsidRDefault="00000000" w:rsidRPr="00000000" w14:paraId="0000004D">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the WFP to support the development and dissemination of fast-growing crops, resilient seed varieties, and effective agricultural tools to strengthen local food self-production in refugee-hosting countries;</w:t>
      </w:r>
    </w:p>
    <w:p w:rsidR="00000000" w:rsidDel="00000000" w:rsidP="00000000" w:rsidRDefault="00000000" w:rsidRPr="00000000" w14:paraId="0000004E">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Urges</w:t>
      </w:r>
      <w:r w:rsidDel="00000000" w:rsidR="00000000" w:rsidRPr="00000000">
        <w:rPr>
          <w:rFonts w:ascii="Times New Roman" w:cs="Times New Roman" w:eastAsia="Times New Roman" w:hAnsi="Times New Roman"/>
          <w:sz w:val="20"/>
          <w:szCs w:val="20"/>
          <w:rtl w:val="0"/>
        </w:rPr>
        <w:t xml:space="preserve"> the UNOPS, in cooperation with Member States, to support the safe distribution of food by safeguarding maritime corridors and land transportation routes in conflict-affected areas hosting refugees and asylum seekers;</w:t>
      </w:r>
    </w:p>
    <w:p w:rsidR="00000000" w:rsidDel="00000000" w:rsidP="00000000" w:rsidRDefault="00000000" w:rsidRPr="00000000" w14:paraId="0000004F">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the importance of Member States establishing monitoring and assessment systems to ensure sufficient, timely, and equitable food supply for refugees, asylum seekers, and internally displaced persons with the help of UNHCR;</w:t>
      </w:r>
    </w:p>
    <w:p w:rsidR="00000000" w:rsidDel="00000000" w:rsidP="00000000" w:rsidRDefault="00000000" w:rsidRPr="00000000" w14:paraId="00000050">
      <w:pPr>
        <w:numPr>
          <w:ilvl w:val="0"/>
          <w:numId w:val="1"/>
        </w:numPr>
        <w:spacing w:line="240" w:lineRule="auto"/>
        <w:ind w:left="720" w:hanging="360"/>
        <w:rPr/>
      </w:pP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the UNICEF, in collaboration with the UNHCR, to conduct, strengthen, and support the UNICEF Maternal Nutrition Acceleration Plan in IDP settlements, host communities, and </w:t>
      </w:r>
    </w:p>
    <w:p w:rsidR="00000000" w:rsidDel="00000000" w:rsidP="00000000" w:rsidRDefault="00000000" w:rsidRPr="00000000" w14:paraId="00000051">
      <w:pPr>
        <w:numPr>
          <w:ilvl w:val="0"/>
          <w:numId w:val="1"/>
        </w:numPr>
        <w:spacing w:line="240" w:lineRule="auto"/>
        <w:ind w:left="720" w:hanging="360"/>
        <w:rPr/>
      </w:pPr>
      <w:r w:rsidDel="00000000" w:rsidR="00000000" w:rsidRPr="00000000">
        <w:rPr>
          <w:rFonts w:ascii="Times New Roman" w:cs="Times New Roman" w:eastAsia="Times New Roman" w:hAnsi="Times New Roman"/>
          <w:sz w:val="20"/>
          <w:szCs w:val="20"/>
          <w:rtl w:val="0"/>
        </w:rPr>
        <w:t xml:space="preserve">refugee-hosting countries;</w:t>
      </w:r>
    </w:p>
    <w:p w:rsidR="00000000" w:rsidDel="00000000" w:rsidP="00000000" w:rsidRDefault="00000000" w:rsidRPr="00000000" w14:paraId="00000052">
      <w:pPr>
        <w:widowControl w:val="0"/>
        <w:numPr>
          <w:ilvl w:val="0"/>
          <w:numId w:val="1"/>
        </w:numPr>
        <w:spacing w:line="240" w:lineRule="auto"/>
        <w:ind w:left="720" w:hanging="360"/>
      </w:pPr>
      <w:r w:rsidDel="00000000" w:rsidR="00000000" w:rsidRPr="00000000">
        <w:rPr>
          <w:rFonts w:ascii="Times New Roman" w:cs="Times New Roman" w:eastAsia="Times New Roman" w:hAnsi="Times New Roman"/>
          <w:i w:val="1"/>
          <w:iCs w:val="1"/>
          <w:sz w:val="20"/>
          <w:szCs w:val="20"/>
          <w:rtl w:val="0"/>
        </w:rPr>
        <w:t xml:space="preserve">Requests </w:t>
      </w:r>
      <w:r w:rsidDel="00000000" w:rsidR="00000000" w:rsidRPr="00000000">
        <w:rPr>
          <w:rFonts w:ascii="Times New Roman" w:cs="Times New Roman" w:eastAsia="Times New Roman" w:hAnsi="Times New Roman"/>
          <w:sz w:val="20"/>
          <w:szCs w:val="20"/>
          <w:rtl w:val="0"/>
        </w:rPr>
        <w:t xml:space="preserve">Member States to remain actively seized of the matter</w:t>
      </w:r>
      <w:r w:rsidDel="00000000" w:rsidR="00000000" w:rsidRPr="00000000">
        <w:rPr>
          <w:rFonts w:ascii="Times New Roman" w:cs="Times New Roman" w:eastAsia="Times New Roman" w:hAnsi="Times New Roman"/>
          <w:sz w:val="20"/>
          <w:szCs w:val="20"/>
          <w:rtl w:val="0"/>
        </w:rPr>
        <w:t xml:space="preserve">;</w:t>
      </w:r>
    </w:p>
    <w:sectPr>
      <w:headerReference r:id="rId7" w:type="default"/>
      <w:headerReference r:id="rId8" w:type="first"/>
      <w:footerReference r:id="rId9" w:type="first"/>
      <w:pgSz w:h="16834" w:w="11909" w:orient="portrait"/>
      <w:pgMar w:bottom="1440.0000000000002" w:top="0" w:left="1440.0000000000002" w:right="1440.0000000000002" w:header="566.929133858267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sz w:val="58"/>
        <w:szCs w:val="5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