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Arial" w:hAnsi="Arial" w:eastAsia="Arial" w:cs="Arial"/>
          <w:b w:val="0"/>
          <w:bCs w:val="0"/>
          <w:i w:val="0"/>
          <w:iCs w:val="0"/>
          <w:smallCaps w:val="0"/>
          <w:strike w:val="0"/>
          <w:color w:val="000000"/>
          <w:sz w:val="22"/>
          <w:szCs w:val="22"/>
          <w:u w:val="none"/>
          <w:shd w:val="clear" w:fill="auto"/>
          <w:vertAlign w:val="baseline"/>
        </w:rPr>
      </w:pPr>
      <w:bookmarkStart w:id="0" w:name="_GoBack"/>
      <w:bookmarkEnd w:id="0"/>
    </w:p>
    <w:tbl>
      <w:tblPr>
        <w:tblStyle w:val="20"/>
        <w:tblW w:w="974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1134"/>
        <w:gridCol w:w="6164"/>
        <w:gridCol w:w="244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86" w:hRule="atLeast"/>
        </w:trPr>
        <w:tc>
          <w:tcPr>
            <w:gridSpan w:val="2"/>
            <w:tcBorders>
              <w:bottom w:val="single" w:color="000000" w:sz="12" w:space="0"/>
            </w:tcBorders>
          </w:tcPr>
          <w:p>
            <w:pPr>
              <w:jc w:val="left"/>
              <w:rPr>
                <w:rFonts w:ascii="Times New Roman" w:hAnsi="Times New Roman" w:eastAsia="Times New Roman" w:cs="Times New Roman"/>
              </w:rPr>
            </w:pPr>
            <w:r>
              <w:rPr>
                <w:rFonts w:ascii="Times New Roman" w:hAnsi="Times New Roman" w:eastAsia="Times New Roman" w:cs="Times New Roman"/>
                <w:rtl w:val="0"/>
              </w:rPr>
              <w:t>Japan Educational International Model United Nations</w:t>
            </w:r>
          </w:p>
        </w:tc>
        <w:tc>
          <w:tcPr>
            <w:tcBorders>
              <w:bottom w:val="single" w:color="000000" w:sz="12" w:space="0"/>
            </w:tcBorders>
            <w:vAlign w:val="center"/>
          </w:tcPr>
          <w:p>
            <w:pPr>
              <w:jc w:val="right"/>
              <w:rPr>
                <w:rFonts w:ascii="Times New Roman" w:hAnsi="Times New Roman" w:eastAsia="Times New Roman" w:cs="Times New Roman"/>
              </w:rPr>
            </w:pPr>
            <w:r>
              <w:rPr>
                <w:rFonts w:ascii="Times New Roman" w:hAnsi="Times New Roman" w:eastAsia="Times New Roman" w:cs="Times New Roman"/>
                <w:sz w:val="28"/>
                <w:szCs w:val="28"/>
                <w:rtl w:val="0"/>
              </w:rPr>
              <w:t>MA</w:t>
            </w:r>
            <w:r>
              <w:rPr>
                <w:rFonts w:ascii="Times New Roman" w:hAnsi="Times New Roman" w:eastAsia="Times New Roman" w:cs="Times New Roman"/>
                <w:rtl w:val="0"/>
              </w:rPr>
              <w:t>/80/</w:t>
            </w:r>
            <w:r>
              <w:rPr>
                <w:rFonts w:ascii="Times New Roman" w:hAnsi="Times New Roman" w:eastAsia="Times New Roman" w:cs="Times New Roman"/>
                <w:b/>
                <w:bCs/>
                <w:color w:val="FF0000"/>
                <w:rtl w:val="0"/>
              </w:rPr>
              <w:t>WP</w:t>
            </w:r>
            <w:r>
              <w:rPr>
                <w:rFonts w:ascii="Times New Roman" w:hAnsi="Times New Roman" w:eastAsia="Times New Roman" w:cs="Times New Roman"/>
                <w:rtl w:val="0"/>
              </w:rPr>
              <w:t>.xx</w:t>
            </w:r>
            <w:r>
              <w:rPr>
                <w:rFonts w:ascii="Times New Roman" w:hAnsi="Times New Roman" w:eastAsia="Times New Roman" w:cs="Times New Roman"/>
                <w:sz w:val="28"/>
                <w:szCs w:val="28"/>
                <w:rtl w:val="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86" w:hRule="atLeast"/>
        </w:trPr>
        <w:tc>
          <w:tcPr>
            <w:tcBorders>
              <w:top w:val="single" w:color="000000" w:sz="12" w:space="0"/>
            </w:tcBorders>
          </w:tcPr>
          <w:p>
            <w:pPr>
              <w:rPr>
                <w:rFonts w:ascii="Times New Roman" w:hAnsi="Times New Roman" w:eastAsia="Times New Roman" w:cs="Times New Roman"/>
                <w:sz w:val="28"/>
                <w:szCs w:val="28"/>
              </w:rPr>
            </w:pPr>
          </w:p>
        </w:tc>
        <w:tc>
          <w:tcPr>
            <w:vMerge w:val="restart"/>
            <w:tcBorders>
              <w:top w:val="single" w:color="000000" w:sz="12" w:space="0"/>
            </w:tcBorders>
            <w:vAlign w:val="center"/>
          </w:tcPr>
          <w:p>
            <w:pPr>
              <w:rPr>
                <w:rFonts w:ascii="Times New Roman" w:hAnsi="Times New Roman" w:eastAsia="Times New Roman" w:cs="Times New Roman"/>
                <w:sz w:val="28"/>
                <w:szCs w:val="28"/>
              </w:rPr>
            </w:pPr>
            <w:r>
              <w:rPr>
                <w:rFonts w:ascii="Times New Roman" w:hAnsi="Times New Roman" w:eastAsia="Times New Roman" w:cs="Times New Roman"/>
                <w:sz w:val="28"/>
                <w:szCs w:val="28"/>
                <w:rtl w:val="0"/>
              </w:rPr>
              <w:t>United Nations</w:t>
            </w:r>
          </w:p>
          <w:p>
            <w:pPr>
              <w:rPr>
                <w:rFonts w:ascii="Times New Roman" w:hAnsi="Times New Roman" w:eastAsia="Times New Roman" w:cs="Times New Roman"/>
              </w:rPr>
            </w:pPr>
            <w:r>
              <w:rPr>
                <w:rFonts w:ascii="Times New Roman" w:hAnsi="Times New Roman" w:eastAsia="Times New Roman" w:cs="Times New Roman"/>
                <w:sz w:val="28"/>
                <w:szCs w:val="28"/>
                <w:rtl w:val="0"/>
              </w:rPr>
              <w:t>General Assembly</w:t>
            </w:r>
          </w:p>
        </w:tc>
        <w:tc>
          <w:tcPr>
            <w:tcBorders>
              <w:top w:val="single" w:color="000000" w:sz="12" w:space="0"/>
            </w:tcBorders>
            <w:vAlign w:val="center"/>
          </w:tcPr>
          <w:p>
            <w:pPr>
              <w:jc w:val="right"/>
              <w:rPr>
                <w:rFonts w:ascii="Times New Roman" w:hAnsi="Times New Roman" w:eastAsia="Times New Roman" w:cs="Times New Roman"/>
              </w:rPr>
            </w:pPr>
            <w:r>
              <w:rPr>
                <w:rFonts w:ascii="Times New Roman" w:hAnsi="Times New Roman" w:eastAsia="Times New Roman" w:cs="Times New Roman"/>
                <w:rtl w:val="0"/>
              </w:rPr>
              <w:t>Distr.:General</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53" w:hRule="atLeast"/>
        </w:trPr>
        <w:tc>
          <w:p>
            <w:pPr>
              <w:rPr>
                <w:rFonts w:ascii="Times New Roman" w:hAnsi="Times New Roman" w:eastAsia="Times New Roman" w:cs="Times New Roman"/>
              </w:rPr>
            </w:pPr>
            <w:r>
              <w:drawing>
                <wp:anchor distT="0" distB="0" distL="114300" distR="114300" simplePos="0" relativeHeight="251659264" behindDoc="0" locked="0" layoutInCell="1" allowOverlap="1">
                  <wp:simplePos x="0" y="0"/>
                  <wp:positionH relativeFrom="column">
                    <wp:posOffset>-85725</wp:posOffset>
                  </wp:positionH>
                  <wp:positionV relativeFrom="paragraph">
                    <wp:posOffset>-238760</wp:posOffset>
                  </wp:positionV>
                  <wp:extent cx="734695" cy="690880"/>
                  <wp:effectExtent l="0" t="0" r="0" b="0"/>
                  <wp:wrapNone/>
                  <wp:docPr id="1186522053" name="image1.png"/>
                  <wp:cNvGraphicFramePr/>
                  <a:graphic xmlns:a="http://schemas.openxmlformats.org/drawingml/2006/main">
                    <a:graphicData uri="http://schemas.openxmlformats.org/drawingml/2006/picture">
                      <pic:pic xmlns:pic="http://schemas.openxmlformats.org/drawingml/2006/picture">
                        <pic:nvPicPr>
                          <pic:cNvPr id="1186522053" name="image1.png"/>
                          <pic:cNvPicPr preferRelativeResize="0"/>
                        </pic:nvPicPr>
                        <pic:blipFill>
                          <a:blip r:embed="rId5"/>
                          <a:srcRect/>
                          <a:stretch>
                            <a:fillRect/>
                          </a:stretch>
                        </pic:blipFill>
                        <pic:spPr>
                          <a:xfrm>
                            <a:off x="0" y="0"/>
                            <a:ext cx="734886" cy="691085"/>
                          </a:xfrm>
                          <a:prstGeom prst="rect">
                            <a:avLst/>
                          </a:prstGeom>
                        </pic:spPr>
                      </pic:pic>
                    </a:graphicData>
                  </a:graphic>
                </wp:anchor>
              </w:drawing>
            </w:r>
          </w:p>
        </w:tc>
        <w:tc>
          <w:tcPr>
            <w:vMerge w:val="continue"/>
            <w:tcBorders>
              <w:top w:val="single" w:color="000000" w:sz="12" w:space="0"/>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vAlign w:val="center"/>
          </w:tcPr>
          <w:p>
            <w:pPr>
              <w:jc w:val="right"/>
              <w:rPr>
                <w:rFonts w:ascii="Times New Roman" w:hAnsi="Times New Roman" w:eastAsia="Times New Roman" w:cs="Times New Roman"/>
              </w:rPr>
            </w:pPr>
            <w:r>
              <w:rPr>
                <w:rFonts w:ascii="Times New Roman" w:hAnsi="Times New Roman" w:eastAsia="Times New Roman" w:cs="Times New Roman"/>
                <w:rtl w:val="0"/>
              </w:rPr>
              <w:t>10 January, 2024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53" w:hRule="atLeast"/>
        </w:trPr>
        <w:tc>
          <w:tcPr>
            <w:tcBorders>
              <w:bottom w:val="single" w:color="000000" w:sz="12" w:space="0"/>
            </w:tcBorders>
          </w:tcPr>
          <w:p>
            <w:pPr>
              <w:rPr>
                <w:rFonts w:ascii="Times New Roman" w:hAnsi="Times New Roman" w:eastAsia="Times New Roman" w:cs="Times New Roman"/>
              </w:rPr>
            </w:pPr>
          </w:p>
        </w:tc>
        <w:tc>
          <w:tcPr>
            <w:vMerge w:val="continue"/>
            <w:tcBorders>
              <w:top w:val="single" w:color="000000" w:sz="12" w:space="0"/>
              <w:bottom w:val="single" w:color="000000" w:sz="12" w:space="0"/>
            </w:tcBorders>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Times New Roman" w:hAnsi="Times New Roman" w:eastAsia="Times New Roman" w:cs="Times New Roman"/>
              </w:rPr>
            </w:pPr>
          </w:p>
        </w:tc>
        <w:tc>
          <w:tcPr>
            <w:tcBorders>
              <w:bottom w:val="single" w:color="000000" w:sz="12" w:space="0"/>
            </w:tcBorders>
            <w:vAlign w:val="center"/>
          </w:tcPr>
          <w:p>
            <w:pPr>
              <w:jc w:val="right"/>
              <w:rPr>
                <w:rFonts w:ascii="Times New Roman" w:hAnsi="Times New Roman" w:eastAsia="Times New Roman" w:cs="Times New Roman"/>
              </w:rPr>
            </w:pPr>
            <w:r>
              <w:rPr>
                <w:rFonts w:ascii="Times New Roman" w:hAnsi="Times New Roman" w:eastAsia="Times New Roman" w:cs="Times New Roman"/>
                <w:rtl w:val="0"/>
              </w:rPr>
              <w:t>Original: English</w:t>
            </w:r>
          </w:p>
        </w:tc>
      </w:tr>
    </w:tbl>
    <w:p>
      <w:pPr>
        <w:rPr>
          <w:rFonts w:ascii="Times New Roman" w:hAnsi="Times New Roman" w:eastAsia="Times New Roman" w:cs="Times New Roman"/>
          <w:b/>
          <w:bCs/>
        </w:rPr>
      </w:pPr>
      <w:r>
        <w:rPr>
          <w:rFonts w:ascii="Times New Roman" w:hAnsi="Times New Roman" w:eastAsia="Times New Roman" w:cs="Times New Roman"/>
          <w:b/>
          <w:bCs/>
          <w:rtl w:val="0"/>
        </w:rPr>
        <w:br w:type="textWrapping"/>
      </w:r>
      <w:r>
        <w:rPr>
          <w:rFonts w:ascii="Times New Roman" w:hAnsi="Times New Roman" w:eastAsia="Times New Roman" w:cs="Times New Roman"/>
          <w:b/>
          <w:bCs/>
          <w:rtl w:val="0"/>
        </w:rPr>
        <w:t>Eightieth Session</w:t>
      </w:r>
    </w:p>
    <w:p>
      <w:pPr>
        <w:rPr>
          <w:rFonts w:ascii="Times New Roman" w:hAnsi="Times New Roman" w:eastAsia="Times New Roman" w:cs="Times New Roman"/>
          <w:b/>
          <w:bCs/>
        </w:rPr>
      </w:pPr>
      <w:r>
        <w:rPr>
          <w:rFonts w:ascii="Times New Roman" w:hAnsi="Times New Roman" w:eastAsia="Times New Roman" w:cs="Times New Roman"/>
          <w:rtl w:val="0"/>
        </w:rPr>
        <w:t>Agenda item XX</w:t>
      </w:r>
      <w:r>
        <w:rPr>
          <w:rFonts w:ascii="Times New Roman" w:hAnsi="Times New Roman" w:eastAsia="Times New Roman" w:cs="Times New Roman"/>
          <w:rtl w:val="0"/>
        </w:rPr>
        <w:br w:type="textWrapping"/>
      </w:r>
      <w:r>
        <w:rPr>
          <w:rFonts w:ascii="Times New Roman" w:hAnsi="Times New Roman" w:eastAsia="Times New Roman" w:cs="Times New Roman"/>
          <w:b/>
          <w:bCs/>
          <w:rtl w:val="0"/>
        </w:rPr>
        <w:t>General Measures for Food Security Issues Caused by Conflict</w:t>
      </w:r>
    </w:p>
    <w:p>
      <w:pPr>
        <w:rPr>
          <w:rFonts w:ascii="Times New Roman" w:hAnsi="Times New Roman" w:eastAsia="Times New Roman" w:cs="Times New Roman"/>
        </w:rPr>
      </w:pPr>
    </w:p>
    <w:p>
      <w:pPr>
        <w:rPr>
          <w:rFonts w:hint="eastAsia" w:ascii="Times New Roman" w:hAnsi="Times New Roman" w:eastAsia="ＭＳ 明朝" w:cs="Times New Roman"/>
          <w:rtl w:val="0"/>
          <w:lang w:val="en-US" w:eastAsia="ja-JP"/>
        </w:rPr>
      </w:pPr>
      <w:r>
        <w:rPr>
          <w:rFonts w:ascii="Times New Roman" w:hAnsi="Times New Roman" w:eastAsia="Times New Roman" w:cs="Times New Roman"/>
          <w:rtl w:val="0"/>
        </w:rPr>
        <w:t xml:space="preserve">Sponsors: </w:t>
      </w:r>
      <w:r>
        <w:rPr>
          <w:rFonts w:hint="eastAsia" w:ascii="Times New Roman" w:hAnsi="Times New Roman" w:eastAsia="ＭＳ 明朝" w:cs="Times New Roman"/>
          <w:rtl w:val="0"/>
          <w:lang w:val="en-US" w:eastAsia="ja-JP"/>
        </w:rPr>
        <w:t xml:space="preserve"> China, Indonesia, Japan, Philippines, Pakistan, Singapore, South Africa, United Arab Emirates </w:t>
      </w:r>
    </w:p>
    <w:p>
      <w:pPr>
        <w:rPr>
          <w:rFonts w:hint="eastAsia" w:ascii="Times New Roman" w:hAnsi="Times New Roman" w:eastAsia="ＭＳ 明朝" w:cs="Times New Roman"/>
          <w:rtl w:val="0"/>
          <w:lang w:val="en-US" w:eastAsia="ja-JP"/>
        </w:rPr>
      </w:pPr>
    </w:p>
    <w:p>
      <w:pPr>
        <w:pStyle w:val="10"/>
        <w:keepNext w:val="0"/>
        <w:keepLines w:val="0"/>
        <w:widowControl/>
        <w:suppressLineNumbers w:val="0"/>
        <w:bidi w:val="0"/>
        <w:spacing w:before="240" w:beforeAutospacing="0" w:after="240" w:afterAutospacing="0" w:line="20" w:lineRule="atLeast"/>
      </w:pPr>
      <w:r>
        <w:rPr>
          <w:rFonts w:ascii="Arial" w:hAnsi="Arial" w:cs="Arial"/>
          <w:i w:val="0"/>
          <w:iCs w:val="0"/>
          <w:color w:val="000000"/>
          <w:sz w:val="22"/>
          <w:szCs w:val="22"/>
          <w:u w:val="none"/>
          <w:vertAlign w:val="baseline"/>
        </w:rPr>
        <w:t>The General assembly,</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　Recognizing</w:t>
      </w:r>
      <w:r>
        <w:rPr>
          <w:rFonts w:hint="default" w:ascii="Arial" w:hAnsi="Arial" w:cs="Arial"/>
          <w:i w:val="0"/>
          <w:iCs w:val="0"/>
          <w:color w:val="000000"/>
          <w:sz w:val="22"/>
          <w:szCs w:val="22"/>
          <w:u w:val="none"/>
          <w:vertAlign w:val="baseline"/>
        </w:rPr>
        <w:t xml:space="preserve"> with grave concern that armed conflicts have caused instability in food supply chains and significant price volatility across borders,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Recognizing</w:t>
      </w:r>
      <w:r>
        <w:rPr>
          <w:rFonts w:hint="default" w:ascii="Arial" w:hAnsi="Arial" w:cs="Arial"/>
          <w:i w:val="0"/>
          <w:iCs w:val="0"/>
          <w:color w:val="000000"/>
          <w:sz w:val="22"/>
          <w:szCs w:val="22"/>
          <w:u w:val="none"/>
          <w:vertAlign w:val="baseline"/>
        </w:rPr>
        <w:t xml:space="preserve"> that excessive dependence on a limited number of food supply sources or exporting countries significantly increases vulnerability to disruptions in times of crisis, adversely affecting food availability and accessibility,</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Noting</w:t>
      </w:r>
      <w:r>
        <w:rPr>
          <w:rFonts w:hint="default" w:ascii="Arial" w:hAnsi="Arial" w:cs="Arial"/>
          <w:i w:val="0"/>
          <w:iCs w:val="0"/>
          <w:color w:val="000000"/>
          <w:sz w:val="22"/>
          <w:szCs w:val="22"/>
          <w:u w:val="none"/>
          <w:vertAlign w:val="baseline"/>
        </w:rPr>
        <w:t xml:space="preserve"> with deep concern that countries with high dependence on food imports, whether developed or developing, may face serious risks to their food security should future conflicts or supply disruptions arise, even if they are not currently experiencing acute shortages,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Reaffirming</w:t>
      </w:r>
      <w:r>
        <w:rPr>
          <w:rFonts w:hint="default" w:ascii="Arial" w:hAnsi="Arial" w:cs="Arial"/>
          <w:i w:val="0"/>
          <w:iCs w:val="0"/>
          <w:color w:val="000000"/>
          <w:sz w:val="22"/>
          <w:szCs w:val="22"/>
          <w:u w:val="none"/>
          <w:vertAlign w:val="baseline"/>
        </w:rPr>
        <w:t xml:space="preserve"> that food security constitutes a fundamental pillar of national stability and international peace,</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Recognizing</w:t>
      </w:r>
      <w:r>
        <w:rPr>
          <w:rFonts w:hint="default" w:ascii="Arial" w:hAnsi="Arial" w:cs="Arial"/>
          <w:i w:val="0"/>
          <w:iCs w:val="0"/>
          <w:color w:val="000000"/>
          <w:sz w:val="22"/>
          <w:szCs w:val="22"/>
          <w:u w:val="none"/>
          <w:vertAlign w:val="baseline"/>
        </w:rPr>
        <w:t xml:space="preserve"> the key role and expertise of FAO, WFP, and IFAD in global food security,</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Deeply concerned</w:t>
      </w:r>
      <w:r>
        <w:rPr>
          <w:rFonts w:hint="default" w:ascii="Arial" w:hAnsi="Arial" w:cs="Arial"/>
          <w:i w:val="0"/>
          <w:iCs w:val="0"/>
          <w:color w:val="000000"/>
          <w:sz w:val="22"/>
          <w:szCs w:val="22"/>
          <w:u w:val="none"/>
          <w:vertAlign w:val="baseline"/>
        </w:rPr>
        <w:t xml:space="preserve"> food supply instability often persists well beyond the cessation of armed conflicts,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Emphasizing</w:t>
      </w:r>
      <w:r>
        <w:rPr>
          <w:rFonts w:hint="default" w:ascii="Arial" w:hAnsi="Arial" w:cs="Arial"/>
          <w:i w:val="0"/>
          <w:iCs w:val="0"/>
          <w:color w:val="000000"/>
          <w:sz w:val="22"/>
          <w:szCs w:val="22"/>
          <w:u w:val="none"/>
          <w:vertAlign w:val="baseline"/>
        </w:rPr>
        <w:t xml:space="preserve"> the necessity of balancing immediate humanitarian assistance with medium- and long-term reconstruction of food supply systems,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Reaffirming</w:t>
      </w:r>
      <w:r>
        <w:rPr>
          <w:rFonts w:hint="default" w:ascii="Arial" w:hAnsi="Arial" w:cs="Arial"/>
          <w:i w:val="0"/>
          <w:iCs w:val="0"/>
          <w:color w:val="000000"/>
          <w:sz w:val="22"/>
          <w:szCs w:val="22"/>
          <w:u w:val="none"/>
          <w:vertAlign w:val="baseline"/>
        </w:rPr>
        <w:t xml:space="preserve"> that support delivered through existing United Nations agencies represents the most effective and coordinated means of international assistance,</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Recalling</w:t>
      </w:r>
      <w:r>
        <w:rPr>
          <w:rFonts w:hint="default" w:ascii="Arial" w:hAnsi="Arial" w:cs="Arial"/>
          <w:i w:val="0"/>
          <w:iCs w:val="0"/>
          <w:color w:val="000000"/>
          <w:sz w:val="22"/>
          <w:szCs w:val="22"/>
          <w:u w:val="none"/>
          <w:vertAlign w:val="baseline"/>
        </w:rPr>
        <w:t xml:space="preserve"> Article 54 of Additional Protocol I to the Geneva Conventions,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Recognizing</w:t>
      </w:r>
      <w:r>
        <w:rPr>
          <w:rFonts w:hint="default" w:ascii="Arial" w:hAnsi="Arial" w:cs="Arial"/>
          <w:i w:val="0"/>
          <w:iCs w:val="0"/>
          <w:color w:val="000000"/>
          <w:sz w:val="22"/>
          <w:szCs w:val="22"/>
          <w:u w:val="none"/>
          <w:vertAlign w:val="baseline"/>
        </w:rPr>
        <w:t xml:space="preserve"> that international recognition and implementation of the principle of the non-weaponization of food remain insufficient in practice,</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Recognizing</w:t>
      </w:r>
      <w:r>
        <w:rPr>
          <w:rFonts w:hint="default" w:ascii="Arial" w:hAnsi="Arial" w:cs="Arial"/>
          <w:i w:val="0"/>
          <w:iCs w:val="0"/>
          <w:color w:val="000000"/>
          <w:sz w:val="22"/>
          <w:szCs w:val="22"/>
          <w:u w:val="none"/>
          <w:vertAlign w:val="baseline"/>
        </w:rPr>
        <w:t xml:space="preserve"> that renewed international consensus on the principle of the non-weaponization of food contributes not only to the protection of stable food supplies during armed conflict but also to the prevention of future conflicts,</w:t>
      </w:r>
    </w:p>
    <w:p>
      <w:pPr>
        <w:pStyle w:val="10"/>
        <w:keepNext w:val="0"/>
        <w:keepLines w:val="0"/>
        <w:widowControl/>
        <w:suppressLineNumbers w:val="0"/>
        <w:bidi w:val="0"/>
        <w:spacing w:before="240" w:beforeAutospacing="0" w:after="240" w:afterAutospacing="0" w:line="20" w:lineRule="atLeast"/>
      </w:pPr>
      <w:r>
        <w:rPr>
          <w:rFonts w:hint="default" w:ascii="Arial" w:hAnsi="Arial" w:cs="Arial"/>
          <w:i/>
          <w:iCs/>
          <w:color w:val="000000"/>
          <w:sz w:val="22"/>
          <w:szCs w:val="22"/>
          <w:u w:val="none"/>
          <w:vertAlign w:val="baseline"/>
        </w:rPr>
        <w:t>Reaffirming</w:t>
      </w:r>
      <w:r>
        <w:rPr>
          <w:rFonts w:hint="default" w:ascii="Arial" w:hAnsi="Arial" w:cs="Arial"/>
          <w:i w:val="0"/>
          <w:iCs w:val="0"/>
          <w:color w:val="000000"/>
          <w:sz w:val="22"/>
          <w:szCs w:val="22"/>
          <w:u w:val="none"/>
          <w:vertAlign w:val="baseline"/>
        </w:rPr>
        <w:t xml:space="preserve"> the importance of a rules-based international order as the foundation for global peace and stability,</w:t>
      </w:r>
    </w:p>
    <w:p>
      <w:pPr>
        <w:pStyle w:val="10"/>
        <w:keepNext w:val="0"/>
        <w:keepLines w:val="0"/>
        <w:widowControl/>
        <w:suppressLineNumbers w:val="0"/>
        <w:bidi w:val="0"/>
        <w:spacing w:before="0" w:beforeAutospacing="0" w:after="0" w:afterAutospacing="0" w:line="20" w:lineRule="atLeast"/>
        <w:rPr>
          <w:rFonts w:hint="default" w:ascii="Arial" w:hAnsi="Arial" w:cs="Arial"/>
          <w:i w:val="0"/>
          <w:iCs w:val="0"/>
          <w:color w:val="000000"/>
          <w:sz w:val="22"/>
          <w:szCs w:val="22"/>
          <w:u w:val="none"/>
          <w:vertAlign w:val="baseline"/>
        </w:rPr>
      </w:pPr>
    </w:p>
    <w:p>
      <w:pPr>
        <w:rPr>
          <w:rFonts w:hint="default" w:ascii="Times New Roman" w:hAnsi="Times New Roman" w:eastAsia="ＭＳ 明朝" w:cs="Times New Roman"/>
          <w:rtl w:val="0"/>
          <w:lang w:val="en-US" w:eastAsia="ja-JP"/>
        </w:rPr>
      </w:pPr>
    </w:p>
    <w:sectPr>
      <w:headerReference r:id="rId3" w:type="default"/>
      <w:pgSz w:w="11906" w:h="16838"/>
      <w:pgMar w:top="1440" w:right="1080" w:bottom="1440" w:left="1080" w:header="794" w:footer="992"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D4176996-099D-45CD-B99D-C2828C70754B}"/>
  </w:font>
  <w:font w:name="Century">
    <w:panose1 w:val="02040604050505020304"/>
    <w:charset w:val="00"/>
    <w:family w:val="roman"/>
    <w:pitch w:val="default"/>
    <w:sig w:usb0="00000287" w:usb1="00000000" w:usb2="00000000" w:usb3="00000000" w:csb0="2000009F" w:csb1="DFD70000"/>
    <w:embedRegular r:id="rId2" w:fontKey="{8E6B3E3A-6A11-47F7-9496-F9BE2B1F82F6}"/>
  </w:font>
  <w:font w:name="ＭＳ 明朝">
    <w:panose1 w:val="02020609040205080304"/>
    <w:charset w:val="80"/>
    <w:family w:val="auto"/>
    <w:pitch w:val="default"/>
    <w:sig w:usb0="E00002FF" w:usb1="6AC7FDFB" w:usb2="08000012" w:usb3="00000000" w:csb0="4002009F" w:csb1="DFD70000"/>
    <w:embedRegular r:id="rId3" w:fontKey="{0AB83E6B-6688-4858-AAE4-3C5FAF0BEB66}"/>
  </w:font>
  <w:font w:name="Arial">
    <w:panose1 w:val="020B0604020202020204"/>
    <w:charset w:val="00"/>
    <w:family w:val="swiss"/>
    <w:pitch w:val="default"/>
    <w:sig w:usb0="E0002EFF" w:usb1="C000785B" w:usb2="00000009" w:usb3="00000000" w:csb0="400001FF" w:csb1="FFFF0000"/>
    <w:embedRegular r:id="rId4" w:fontKey="{FC27D3FE-C5BE-493D-A085-F8A15C574E79}"/>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embedRegular r:id="rId5" w:fontKey="{32E3CB48-7777-4E70-A2DC-5C287F1CEE59}"/>
  </w:font>
  <w:font w:name="Wingdings">
    <w:panose1 w:val="05000000000000000000"/>
    <w:charset w:val="02"/>
    <w:family w:val="auto"/>
    <w:pitch w:val="default"/>
    <w:sig w:usb0="00000000" w:usb1="00000000" w:usb2="00000000" w:usb3="00000000" w:csb0="80000000" w:csb1="00000000"/>
    <w:embedRegular r:id="rId6" w:fontKey="{57A6700C-BCCD-437D-BF21-D0DA33570903}"/>
  </w:font>
  <w:font w:name="游明朝">
    <w:panose1 w:val="02020400000000000000"/>
    <w:charset w:val="80"/>
    <w:family w:val="auto"/>
    <w:pitch w:val="default"/>
    <w:sig w:usb0="800002E7" w:usb1="2AC7FCFF" w:usb2="00000012" w:usb3="00000000" w:csb0="2002009F" w:csb1="00000000"/>
  </w:font>
  <w:font w:name="Georgia">
    <w:panose1 w:val="02040502050405020303"/>
    <w:charset w:val="00"/>
    <w:family w:val="auto"/>
    <w:pitch w:val="default"/>
    <w:sig w:usb0="00000287" w:usb1="00000000" w:usb2="00000000" w:usb3="00000000" w:csb0="2000009F" w:csb1="00000000"/>
    <w:embedRegular r:id="rId7" w:fontKey="{350B9BC7-4727-41F0-8FA3-8BD9F0B55C7D}"/>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right"/>
      <w:rPr>
        <w:rFonts w:ascii="Times New Roman" w:hAnsi="Times New Roman" w:eastAsia="Times New Roman" w:cs="Times New Roman"/>
        <w:b w:val="0"/>
        <w:bCs w:val="0"/>
        <w:i w:val="0"/>
        <w:iCs w:val="0"/>
        <w:smallCaps w:val="0"/>
        <w:strike w:val="0"/>
        <w:color w:val="000000"/>
        <w:sz w:val="21"/>
        <w:szCs w:val="21"/>
        <w:u w:val="none"/>
        <w:shd w:val="clear" w:fill="auto"/>
        <w:vertAlign w:val="baseline"/>
      </w:rPr>
    </w:pPr>
    <w:r>
      <w:rPr>
        <w:rFonts w:ascii="Times New Roman" w:hAnsi="Times New Roman" w:eastAsia="Times New Roman" w:cs="Times New Roman"/>
        <w:b w:val="0"/>
        <w:bCs w:val="0"/>
        <w:i w:val="0"/>
        <w:iCs w:val="0"/>
        <w:smallCaps w:val="0"/>
        <w:strike w:val="0"/>
        <w:color w:val="000000"/>
        <w:sz w:val="21"/>
        <w:szCs w:val="21"/>
        <w:u w:val="none"/>
        <w:shd w:val="clear" w:fill="auto"/>
        <w:vertAlign w:val="baseline"/>
        <w:rtl w:val="0"/>
      </w:rPr>
      <w:t>Conference (A or 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doNotUseIndentAsNumberingTabStop/>
    <w:compatSetting w:name="compatibilityMode" w:uri="http://schemas.microsoft.com/office/word" w:val="15"/>
  </w:compat>
  <w:rsids>
    <w:rsidRoot w:val="00000000"/>
    <w:rsid w:val="23082114"/>
    <w:rsid w:val="37383787"/>
    <w:rsid w:val="41763CC1"/>
    <w:rsid w:val="43F42155"/>
    <w:rsid w:val="61747DE2"/>
  </w:rsids>
  <m:mathPr>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游明朝" w:hAnsi="游明朝" w:eastAsia="游明朝" w:cs="游明朝"/>
      <w:sz w:val="21"/>
      <w:szCs w:val="21"/>
      <w:lang w:val="en"/>
    </w:rPr>
  </w:style>
  <w:style w:type="paragraph" w:styleId="2">
    <w:name w:val="heading 1"/>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80" w:after="120" w:line="240" w:lineRule="auto"/>
      <w:ind w:left="0" w:right="0" w:firstLine="0"/>
      <w:jc w:val="both"/>
    </w:pPr>
    <w:rPr>
      <w:rFonts w:ascii="游明朝" w:hAnsi="游明朝" w:eastAsia="游明朝" w:cs="游明朝"/>
      <w:b/>
      <w:bCs/>
      <w:color w:val="000000"/>
      <w:sz w:val="48"/>
      <w:szCs w:val="48"/>
      <w:u w:val="none"/>
      <w:shd w:val="clear" w:fill="auto"/>
      <w:vertAlign w:val="baseline"/>
    </w:rPr>
  </w:style>
  <w:style w:type="paragraph" w:styleId="3">
    <w:name w:val="heading 2"/>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60" w:after="80" w:line="240" w:lineRule="auto"/>
      <w:ind w:left="0" w:right="0" w:firstLine="0"/>
      <w:jc w:val="both"/>
    </w:pPr>
    <w:rPr>
      <w:rFonts w:ascii="游明朝" w:hAnsi="游明朝" w:eastAsia="游明朝" w:cs="游明朝"/>
      <w:b/>
      <w:bCs/>
      <w:color w:val="000000"/>
      <w:sz w:val="36"/>
      <w:szCs w:val="36"/>
      <w:u w:val="none"/>
      <w:shd w:val="clear" w:fill="auto"/>
      <w:vertAlign w:val="baseline"/>
    </w:rPr>
  </w:style>
  <w:style w:type="paragraph" w:styleId="4">
    <w:name w:val="heading 3"/>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80" w:after="80" w:line="240" w:lineRule="auto"/>
      <w:ind w:left="0" w:right="0" w:firstLine="0"/>
      <w:jc w:val="both"/>
    </w:pPr>
    <w:rPr>
      <w:rFonts w:ascii="游明朝" w:hAnsi="游明朝" w:eastAsia="游明朝" w:cs="游明朝"/>
      <w:b/>
      <w:bCs/>
      <w:color w:val="000000"/>
      <w:sz w:val="28"/>
      <w:szCs w:val="28"/>
      <w:u w:val="none"/>
      <w:shd w:val="clear" w:fill="auto"/>
      <w:vertAlign w:val="baseline"/>
    </w:rPr>
  </w:style>
  <w:style w:type="paragraph" w:styleId="5">
    <w:name w:val="heading 4"/>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40" w:after="40" w:line="240" w:lineRule="auto"/>
      <w:ind w:left="0" w:right="0" w:firstLine="0"/>
      <w:jc w:val="both"/>
    </w:pPr>
    <w:rPr>
      <w:rFonts w:ascii="游明朝" w:hAnsi="游明朝" w:eastAsia="游明朝" w:cs="游明朝"/>
      <w:b/>
      <w:bCs/>
      <w:color w:val="000000"/>
      <w:sz w:val="24"/>
      <w:szCs w:val="24"/>
      <w:u w:val="none"/>
      <w:shd w:val="clear" w:fill="auto"/>
      <w:vertAlign w:val="baseline"/>
    </w:rPr>
  </w:style>
  <w:style w:type="paragraph" w:styleId="6">
    <w:name w:val="heading 5"/>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20" w:after="40" w:line="240" w:lineRule="auto"/>
      <w:ind w:left="0" w:right="0" w:firstLine="0"/>
      <w:jc w:val="both"/>
    </w:pPr>
    <w:rPr>
      <w:rFonts w:ascii="游明朝" w:hAnsi="游明朝" w:eastAsia="游明朝" w:cs="游明朝"/>
      <w:b/>
      <w:bCs/>
      <w:color w:val="000000"/>
      <w:sz w:val="22"/>
      <w:szCs w:val="22"/>
      <w:u w:val="none"/>
      <w:shd w:val="clear" w:fill="auto"/>
      <w:vertAlign w:val="baseline"/>
    </w:rPr>
  </w:style>
  <w:style w:type="paragraph" w:styleId="7">
    <w:name w:val="heading 6"/>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200" w:after="40" w:line="240" w:lineRule="auto"/>
      <w:ind w:left="0" w:right="0" w:firstLine="0"/>
      <w:jc w:val="both"/>
    </w:pPr>
    <w:rPr>
      <w:rFonts w:ascii="游明朝" w:hAnsi="游明朝" w:eastAsia="游明朝" w:cs="游明朝"/>
      <w:b/>
      <w:bCs/>
      <w:color w:val="000000"/>
      <w:sz w:val="20"/>
      <w:szCs w:val="20"/>
      <w:u w:val="none"/>
      <w:shd w:val="clear" w:fill="auto"/>
      <w:vertAlign w:val="baseline"/>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Normal (Web)"/>
    <w:uiPriority w:val="0"/>
    <w:pPr>
      <w:spacing w:before="0" w:beforeAutospacing="1" w:after="0" w:afterAutospacing="1"/>
      <w:ind w:left="0" w:right="0"/>
      <w:jc w:val="left"/>
    </w:pPr>
    <w:rPr>
      <w:rFonts w:ascii="Times New Roman" w:hAnsi="Times New Roman"/>
      <w:kern w:val="0"/>
      <w:sz w:val="24"/>
      <w:lang w:val="en-US" w:eastAsia="zh-CN" w:bidi="ar"/>
    </w:rPr>
  </w:style>
  <w:style w:type="paragraph" w:styleId="11">
    <w:name w:val="Title"/>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480" w:after="120" w:line="240" w:lineRule="auto"/>
      <w:ind w:left="0" w:right="0" w:firstLine="0"/>
      <w:jc w:val="both"/>
    </w:pPr>
    <w:rPr>
      <w:rFonts w:ascii="游明朝" w:hAnsi="游明朝" w:eastAsia="游明朝" w:cs="游明朝"/>
      <w:b/>
      <w:bCs/>
      <w:color w:val="000000"/>
      <w:sz w:val="72"/>
      <w:szCs w:val="72"/>
      <w:u w:val="none"/>
      <w:shd w:val="clear" w:fill="auto"/>
      <w:vertAlign w:val="baseline"/>
    </w:rPr>
  </w:style>
  <w:style w:type="paragraph" w:styleId="12">
    <w:name w:val="footer"/>
    <w:link w:val="18"/>
    <w:unhideWhenUsed/>
    <w:uiPriority w:val="99"/>
    <w:pPr>
      <w:widowControl w:val="0"/>
      <w:tabs>
        <w:tab w:val="center" w:pos="4252"/>
        <w:tab w:val="right" w:pos="8504"/>
      </w:tabs>
      <w:snapToGrid w:val="0"/>
      <w:jc w:val="both"/>
    </w:pPr>
    <w:rPr>
      <w:rFonts w:ascii="游明朝" w:hAnsi="游明朝" w:eastAsia="游明朝" w:cs="游明朝"/>
      <w:sz w:val="21"/>
      <w:szCs w:val="21"/>
      <w:lang w:val="en"/>
    </w:rPr>
  </w:style>
  <w:style w:type="paragraph" w:styleId="13">
    <w:name w:val="header"/>
    <w:link w:val="17"/>
    <w:unhideWhenUsed/>
    <w:uiPriority w:val="99"/>
    <w:pPr>
      <w:widowControl w:val="0"/>
      <w:tabs>
        <w:tab w:val="center" w:pos="4252"/>
        <w:tab w:val="right" w:pos="8504"/>
      </w:tabs>
      <w:snapToGrid w:val="0"/>
      <w:jc w:val="both"/>
    </w:pPr>
    <w:rPr>
      <w:rFonts w:ascii="游明朝" w:hAnsi="游明朝" w:eastAsia="游明朝" w:cs="游明朝"/>
      <w:sz w:val="21"/>
      <w:szCs w:val="21"/>
      <w:lang w:val="en"/>
    </w:rPr>
  </w:style>
  <w:style w:type="paragraph" w:styleId="14">
    <w:name w:val="Subtitle"/>
    <w:basedOn w:val="1"/>
    <w:next w:val="1"/>
    <w:uiPriority w:val="0"/>
    <w:pPr>
      <w:keepNext/>
      <w:keepLines/>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60" w:after="80" w:line="240" w:lineRule="auto"/>
      <w:ind w:left="0" w:right="0" w:firstLine="0"/>
      <w:jc w:val="both"/>
    </w:pPr>
    <w:rPr>
      <w:rFonts w:ascii="Georgia" w:hAnsi="Georgia" w:eastAsia="Georgia" w:cs="Georgia"/>
      <w:i/>
      <w:iCs/>
      <w:color w:val="666666"/>
      <w:sz w:val="48"/>
      <w:szCs w:val="48"/>
      <w:u w:val="none"/>
      <w:shd w:val="clear" w:fill="auto"/>
      <w:vertAlign w:val="baseline"/>
    </w:rPr>
  </w:style>
  <w:style w:type="table" w:styleId="15">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Normal"/>
    <w:uiPriority w:val="0"/>
    <w:tblPr>
      <w:tblCellMar>
        <w:top w:w="100" w:type="dxa"/>
        <w:left w:w="100" w:type="dxa"/>
        <w:bottom w:w="100" w:type="dxa"/>
        <w:right w:w="100" w:type="dxa"/>
      </w:tblCellMar>
    </w:tblPr>
  </w:style>
  <w:style w:type="character" w:customStyle="1" w:styleId="17">
    <w:name w:val="ヘッダー (文字)"/>
    <w:basedOn w:val="8"/>
    <w:link w:val="13"/>
    <w:uiPriority w:val="99"/>
  </w:style>
  <w:style w:type="character" w:customStyle="1" w:styleId="18">
    <w:name w:val="フッター (文字)"/>
    <w:basedOn w:val="8"/>
    <w:link w:val="12"/>
    <w:uiPriority w:val="99"/>
  </w:style>
  <w:style w:type="paragraph" w:styleId="19">
    <w:name w:val="List Paragraph"/>
    <w:qFormat/>
    <w:uiPriority w:val="34"/>
    <w:pPr>
      <w:widowControl w:val="0"/>
      <w:ind w:left="840" w:leftChars="400"/>
      <w:jc w:val="both"/>
    </w:pPr>
    <w:rPr>
      <w:rFonts w:ascii="游明朝" w:hAnsi="游明朝" w:eastAsia="游明朝" w:cs="游明朝"/>
      <w:sz w:val="21"/>
      <w:szCs w:val="21"/>
      <w:lang w:val="en"/>
    </w:rPr>
  </w:style>
  <w:style w:type="table" w:customStyle="1" w:styleId="20">
    <w:name w:val="_Style 21"/>
    <w:basedOn w:val="16"/>
    <w:uiPriority w:val="0"/>
    <w:tblPr>
      <w:tblCellMar>
        <w:top w:w="0" w:type="dxa"/>
        <w:left w:w="108" w:type="dxa"/>
        <w:bottom w:w="0" w:type="dxa"/>
        <w:right w:w="108" w:type="dxa"/>
      </w:tblCellMar>
    </w:tblPr>
  </w:style>
  <w:style w:type="table" w:customStyle="1" w:styleId="21">
    <w:name w:val="_Style 22"/>
    <w:uiPriority w:val="0"/>
    <w:tblPr>
      <w:tblCellMar>
        <w:top w:w="0" w:type="dxa"/>
        <w:left w:w="108" w:type="dxa"/>
        <w:bottom w:w="0" w:type="dxa"/>
        <w:right w:w="108" w:type="dxa"/>
      </w:tblCellMar>
    </w:tblPr>
  </w:style>
  <w:style w:type="table" w:customStyle="1" w:styleId="22">
    <w:name w:val="_Style 24"/>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GRD6/GyQ6nNrqQFevXIt+selA==">CgMxLjA4AHIhMXlaWWduWTg2b09jNXpjZTVXLVRaQVk2YTd1RURQc0p3</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Office_11.2.0.10603_F1E327BC-269C-435d-A152-05C5408002CA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2023-12-30T05:48:00Z</dcterms:created>
  <dc:creator>持田　隼人</dc:creator>
  <cp:lastModifiedBy>isakk</cp:lastModifiedBy>
  <dcterms:modified xsi:type="dcterms:W3CDTF">2026-01-10T07:56:20Z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1041-11.2.0.10603</vt:lpwstr>
  </property>
  <property fmtid="{D5CDD505-2E9C-101B-9397-08002B2CF9AE}" pid="3" name="ICV">
    <vt:lpwstr>A0D6F592D06C413C82DDDEBA5C08372A</vt:lpwstr>
  </property>
</Properties>
</file>